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_GBK" w:eastAsia="方正小标宋_GBK"/>
          <w:sz w:val="44"/>
          <w:szCs w:val="44"/>
        </w:rPr>
      </w:pPr>
      <w:r>
        <w:rPr>
          <w:rFonts w:hint="eastAsia" w:ascii="方正小标宋_GBK" w:eastAsia="方正小标宋_GBK"/>
          <w:sz w:val="44"/>
          <w:szCs w:val="44"/>
        </w:rPr>
        <w:t>关于组织第二届全国职业技能大赛</w:t>
      </w:r>
    </w:p>
    <w:p>
      <w:pPr>
        <w:spacing w:line="640" w:lineRule="exact"/>
        <w:jc w:val="center"/>
        <w:rPr>
          <w:rFonts w:ascii="方正小标宋_GBK" w:eastAsia="方正小标宋_GBK"/>
          <w:sz w:val="44"/>
          <w:szCs w:val="44"/>
        </w:rPr>
      </w:pPr>
      <w:r>
        <w:rPr>
          <w:rFonts w:hint="eastAsia" w:ascii="方正小标宋_GBK" w:eastAsia="方正小标宋_GBK"/>
          <w:sz w:val="44"/>
          <w:szCs w:val="44"/>
        </w:rPr>
        <w:t>江苏省选拔赛新赛制试点工作的通知</w:t>
      </w:r>
    </w:p>
    <w:p>
      <w:pPr>
        <w:rPr>
          <w:szCs w:val="32"/>
        </w:rPr>
      </w:pPr>
    </w:p>
    <w:p>
      <w:pPr>
        <w:spacing w:line="580" w:lineRule="exact"/>
        <w:rPr>
          <w:rFonts w:ascii="方正仿宋_GBK" w:eastAsia="方正仿宋_GBK"/>
          <w:szCs w:val="32"/>
        </w:rPr>
      </w:pPr>
      <w:r>
        <w:rPr>
          <w:rFonts w:hint="eastAsia" w:ascii="方正仿宋_GBK" w:eastAsia="方正仿宋_GBK"/>
          <w:szCs w:val="32"/>
        </w:rPr>
        <w:t>各设区市人力资源社会保障局，各有关单位：</w:t>
      </w:r>
    </w:p>
    <w:p>
      <w:pPr>
        <w:spacing w:line="580" w:lineRule="exact"/>
        <w:ind w:firstLine="630"/>
        <w:rPr>
          <w:rFonts w:ascii="方正仿宋_GBK" w:eastAsia="方正仿宋_GBK"/>
          <w:szCs w:val="32"/>
        </w:rPr>
      </w:pPr>
      <w:r>
        <w:rPr>
          <w:rFonts w:hint="eastAsia" w:ascii="方正仿宋_GBK" w:eastAsia="方正仿宋_GBK"/>
          <w:szCs w:val="32"/>
        </w:rPr>
        <w:t>中华人民共和国第二届职业技能大赛（简称：第二届全国技能大赛）将于2023年在天津举办，为做好大赛备战工作，并以大赛为引领，进一步加强我省职业教育和培训工作，推动群众性岗位练兵活动广泛开展，以赛促训、以赛促建、以赛促评，营造劳动光荣、技能宝贵、创造伟大的浓厚氛围，经研究，决定组织第二届全国技能大赛江苏省选拔赛新赛制试点工作，现就有关事项通知如下：</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新赛制安排</w:t>
      </w:r>
    </w:p>
    <w:p>
      <w:pPr>
        <w:spacing w:line="580" w:lineRule="exact"/>
        <w:ind w:firstLine="640" w:firstLineChars="200"/>
        <w:rPr>
          <w:rFonts w:ascii="方正仿宋_GBK" w:eastAsia="方正仿宋_GBK"/>
          <w:szCs w:val="32"/>
        </w:rPr>
      </w:pPr>
      <w:r>
        <w:rPr>
          <w:rFonts w:hint="eastAsia" w:ascii="方正仿宋_GBK" w:eastAsia="方正仿宋_GBK"/>
          <w:szCs w:val="32"/>
        </w:rPr>
        <w:t>为防止赛项优势固化，确保竞赛公开、公平、公正，提高各类企业、院校参赛积极性，2022年-2023年江苏省选拔赛试点“单位联赛+省级决赛”赛制。试点赛项，根据参赛队报名情况，采取分组淘汰赛、双循环积分赛、决赛方式进行。</w:t>
      </w:r>
    </w:p>
    <w:p>
      <w:pPr>
        <w:spacing w:line="580" w:lineRule="exact"/>
        <w:ind w:firstLine="640" w:firstLineChars="200"/>
        <w:rPr>
          <w:rFonts w:ascii="方正楷体_GBK" w:eastAsia="方正楷体_GBK"/>
          <w:szCs w:val="32"/>
        </w:rPr>
      </w:pPr>
      <w:r>
        <w:rPr>
          <w:rFonts w:hint="eastAsia" w:ascii="方正楷体_GBK" w:eastAsia="方正楷体_GBK"/>
          <w:szCs w:val="32"/>
        </w:rPr>
        <w:t>（一）赛制</w:t>
      </w:r>
    </w:p>
    <w:p>
      <w:pPr>
        <w:pStyle w:val="11"/>
        <w:numPr>
          <w:ilvl w:val="0"/>
          <w:numId w:val="2"/>
        </w:numPr>
        <w:spacing w:line="580" w:lineRule="exact"/>
        <w:ind w:firstLineChars="0"/>
        <w:rPr>
          <w:rFonts w:ascii="方正仿宋_GBK" w:eastAsia="方正仿宋_GBK"/>
          <w:szCs w:val="32"/>
        </w:rPr>
      </w:pPr>
      <w:r>
        <w:rPr>
          <w:rFonts w:hint="eastAsia" w:ascii="方正仿宋_GBK" w:eastAsia="方正仿宋_GBK"/>
          <w:szCs w:val="32"/>
        </w:rPr>
        <w:t>分组淘汰赛</w:t>
      </w:r>
    </w:p>
    <w:p>
      <w:pPr>
        <w:spacing w:line="580" w:lineRule="exact"/>
        <w:ind w:firstLine="640" w:firstLineChars="200"/>
        <w:rPr>
          <w:rFonts w:ascii="方正仿宋_GBK" w:eastAsia="方正仿宋_GBK"/>
          <w:szCs w:val="32"/>
        </w:rPr>
      </w:pPr>
      <w:r>
        <w:rPr>
          <w:rFonts w:hint="eastAsia" w:ascii="方正仿宋_GBK" w:eastAsia="方正仿宋_GBK"/>
          <w:szCs w:val="32"/>
        </w:rPr>
        <w:t>当参赛队报名数量超过10个队时，由赛项组委会采取分组淘汰方式选出不超过10个队的选手参加省双循环积分赛。</w:t>
      </w:r>
    </w:p>
    <w:p>
      <w:pPr>
        <w:pStyle w:val="11"/>
        <w:numPr>
          <w:ilvl w:val="0"/>
          <w:numId w:val="2"/>
        </w:numPr>
        <w:spacing w:line="580" w:lineRule="exact"/>
        <w:ind w:firstLineChars="0"/>
        <w:rPr>
          <w:rFonts w:ascii="方正仿宋_GBK" w:eastAsia="方正仿宋_GBK"/>
          <w:szCs w:val="32"/>
        </w:rPr>
      </w:pPr>
      <w:r>
        <w:rPr>
          <w:rFonts w:hint="eastAsia" w:ascii="方正仿宋_GBK" w:eastAsia="方正仿宋_GBK"/>
          <w:szCs w:val="32"/>
        </w:rPr>
        <w:t>双循环积分赛</w:t>
      </w:r>
    </w:p>
    <w:p>
      <w:pPr>
        <w:spacing w:line="580" w:lineRule="exact"/>
        <w:ind w:firstLine="640" w:firstLineChars="200"/>
        <w:rPr>
          <w:rFonts w:ascii="方正仿宋_GBK" w:eastAsia="方正仿宋_GBK"/>
          <w:szCs w:val="32"/>
        </w:rPr>
      </w:pPr>
      <w:r>
        <w:rPr>
          <w:rFonts w:hint="eastAsia" w:ascii="方正仿宋_GBK" w:eastAsia="方正仿宋_GBK"/>
          <w:szCs w:val="32"/>
        </w:rPr>
        <w:t>当参赛队报名数量不超过10个队或经分组淘汰赛后，组织参赛队进行主客场双循环赛。</w:t>
      </w:r>
    </w:p>
    <w:p>
      <w:pPr>
        <w:pStyle w:val="11"/>
        <w:numPr>
          <w:ilvl w:val="0"/>
          <w:numId w:val="2"/>
        </w:numPr>
        <w:spacing w:line="580" w:lineRule="exact"/>
        <w:ind w:firstLineChars="0"/>
        <w:rPr>
          <w:rFonts w:ascii="方正仿宋_GBK" w:eastAsia="方正仿宋_GBK"/>
          <w:szCs w:val="32"/>
        </w:rPr>
      </w:pPr>
      <w:r>
        <w:rPr>
          <w:rFonts w:hint="eastAsia" w:ascii="方正仿宋_GBK" w:eastAsia="方正仿宋_GBK"/>
          <w:szCs w:val="32"/>
        </w:rPr>
        <w:t>省决赛</w:t>
      </w:r>
    </w:p>
    <w:p>
      <w:pPr>
        <w:spacing w:line="580" w:lineRule="exact"/>
        <w:ind w:firstLine="640" w:firstLineChars="200"/>
        <w:rPr>
          <w:rFonts w:ascii="方正仿宋_GBK" w:eastAsia="方正仿宋_GBK"/>
          <w:szCs w:val="32"/>
        </w:rPr>
      </w:pPr>
      <w:r>
        <w:rPr>
          <w:rFonts w:hint="eastAsia" w:ascii="方正仿宋_GBK" w:eastAsia="方正仿宋_GBK"/>
          <w:szCs w:val="32"/>
        </w:rPr>
        <w:t>经过淘汰和循环赛后，组织省决赛，并根据循环赛积分和省决赛成绩确定出征全国职业技能大赛人选。</w:t>
      </w:r>
    </w:p>
    <w:p>
      <w:pPr>
        <w:spacing w:line="580" w:lineRule="exact"/>
        <w:ind w:firstLine="640" w:firstLineChars="200"/>
        <w:rPr>
          <w:rFonts w:ascii="方正楷体_GBK" w:eastAsia="方正楷体_GBK"/>
          <w:szCs w:val="32"/>
        </w:rPr>
      </w:pPr>
      <w:r>
        <w:rPr>
          <w:rFonts w:hint="eastAsia" w:ascii="方正楷体_GBK" w:eastAsia="方正楷体_GBK"/>
          <w:szCs w:val="32"/>
        </w:rPr>
        <w:t>（二）赛程安排</w:t>
      </w:r>
    </w:p>
    <w:p>
      <w:pPr>
        <w:spacing w:line="580" w:lineRule="exact"/>
        <w:ind w:firstLine="640" w:firstLineChars="200"/>
        <w:rPr>
          <w:rFonts w:ascii="方正仿宋_GBK" w:eastAsia="方正仿宋_GBK"/>
          <w:szCs w:val="32"/>
        </w:rPr>
      </w:pPr>
      <w:r>
        <w:rPr>
          <w:rFonts w:hint="eastAsia" w:ascii="方正仿宋_GBK" w:eastAsia="方正仿宋_GBK"/>
          <w:szCs w:val="32"/>
        </w:rPr>
        <w:t>2022年12月份前，完成双循环积分赛；2023年6月份前，完成省决赛；2023年6月-9月，组织省级集训。</w:t>
      </w:r>
    </w:p>
    <w:p>
      <w:pPr>
        <w:spacing w:line="580" w:lineRule="exact"/>
        <w:ind w:firstLine="640" w:firstLineChars="200"/>
        <w:rPr>
          <w:rFonts w:ascii="方正仿宋_GBK" w:eastAsia="方正仿宋_GBK"/>
          <w:szCs w:val="32"/>
        </w:rPr>
      </w:pPr>
      <w:r>
        <w:rPr>
          <w:rFonts w:hint="eastAsia" w:ascii="方正仿宋_GBK" w:eastAsia="方正仿宋_GBK"/>
          <w:szCs w:val="32"/>
        </w:rPr>
        <w:t>不具备分组淘汰赛和循环积分赛条件的赛项，仍按各设区市推荐2名（组）选手，省人力资源社会保障厅组织选拔赛方式进行。</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试点赛项</w:t>
      </w:r>
    </w:p>
    <w:p>
      <w:pPr>
        <w:spacing w:line="580" w:lineRule="exact"/>
        <w:ind w:firstLine="640" w:firstLineChars="200"/>
        <w:rPr>
          <w:rFonts w:ascii="方正黑体_GBK" w:eastAsia="方正黑体_GBK"/>
          <w:szCs w:val="32"/>
        </w:rPr>
      </w:pPr>
      <w:r>
        <w:rPr>
          <w:rFonts w:hint="eastAsia" w:ascii="方正仿宋_GBK" w:eastAsia="方正仿宋_GBK"/>
          <w:szCs w:val="32"/>
        </w:rPr>
        <w:t>第二届全国职业技能大赛江苏省选拔赛新赛制试点工作主要面向第47届世界技能大赛相关赛项展开，赛项说明详见附件1。</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技术专家组申报</w:t>
      </w:r>
    </w:p>
    <w:p>
      <w:pPr>
        <w:pStyle w:val="11"/>
        <w:spacing w:line="580" w:lineRule="exact"/>
        <w:ind w:firstLine="632"/>
        <w:rPr>
          <w:rFonts w:ascii="方正仿宋_GBK" w:eastAsia="方正仿宋_GBK"/>
          <w:szCs w:val="32"/>
        </w:rPr>
      </w:pPr>
      <w:r>
        <w:rPr>
          <w:rFonts w:hint="eastAsia" w:ascii="方正仿宋_GBK" w:eastAsia="方正仿宋_GBK"/>
          <w:szCs w:val="32"/>
        </w:rPr>
        <w:t>每个赛项由3名专家组成员组成，设1名专家组长。配合省人力资源社会保障厅，负责各赛项技术文件制定、命题和整个赛程组织工作。全国职业技能竞赛、全国行业职业技能竞赛相关专家组成员优先申报，申报表见附件2。</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省决赛承办单位申报</w:t>
      </w:r>
    </w:p>
    <w:p>
      <w:pPr>
        <w:spacing w:line="580" w:lineRule="exact"/>
        <w:ind w:firstLine="640" w:firstLineChars="200"/>
        <w:rPr>
          <w:rFonts w:ascii="方正仿宋_GBK" w:eastAsia="方正仿宋_GBK"/>
          <w:szCs w:val="32"/>
        </w:rPr>
      </w:pPr>
      <w:r>
        <w:rPr>
          <w:rFonts w:hint="eastAsia" w:ascii="方正仿宋_GBK" w:eastAsia="方正仿宋_GBK"/>
          <w:szCs w:val="32"/>
        </w:rPr>
        <w:t>省决赛承办单位负责省级决赛承办工作，并在省人力资源社会保障厅领导下，会同相关赛项技术专家组，组成赛项组织委员会，承担分组淘汰赛、双循环积分赛协调保障任务。</w:t>
      </w:r>
    </w:p>
    <w:p>
      <w:pPr>
        <w:spacing w:line="580" w:lineRule="exact"/>
        <w:ind w:firstLine="640" w:firstLineChars="200"/>
        <w:rPr>
          <w:rFonts w:ascii="方正仿宋_GBK" w:eastAsia="方正仿宋_GBK"/>
          <w:szCs w:val="32"/>
        </w:rPr>
      </w:pPr>
      <w:r>
        <w:rPr>
          <w:rFonts w:hint="eastAsia" w:ascii="方正仿宋_GBK" w:eastAsia="方正仿宋_GBK"/>
          <w:szCs w:val="32"/>
        </w:rPr>
        <w:t>省内有条件的高等院校、职业院校、技工院校和大型企业均可申报作为省决赛承办单位，每个承办单位可根据自身能力申报不超过5个项目，申报表见附件3。省人力资源社会保障厅根据循环赛积分和往届参赛成绩确定承办单位。</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参赛单位申报</w:t>
      </w:r>
    </w:p>
    <w:p>
      <w:pPr>
        <w:spacing w:line="580" w:lineRule="exact"/>
        <w:ind w:firstLine="640" w:firstLineChars="200"/>
        <w:rPr>
          <w:rFonts w:ascii="方正仿宋_GBK" w:eastAsia="方正仿宋_GBK"/>
          <w:szCs w:val="32"/>
        </w:rPr>
      </w:pPr>
      <w:r>
        <w:rPr>
          <w:rFonts w:hint="eastAsia" w:ascii="方正仿宋_GBK" w:eastAsia="方正仿宋_GBK"/>
          <w:szCs w:val="32"/>
        </w:rPr>
        <w:t>本次选拔赛不设地区名额限制，每个单位选手数量不超过2人（组）。由设区市人力资源社会保障局汇总当地报名情况，统一报省人力资源社会保障厅。参赛单位可根据自身能力先行申报参赛资格（见附件4），具体参赛选手另行申报。</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技术支持单位申报</w:t>
      </w:r>
    </w:p>
    <w:p>
      <w:pPr>
        <w:spacing w:line="580" w:lineRule="exact"/>
        <w:ind w:firstLine="640" w:firstLineChars="200"/>
        <w:rPr>
          <w:rFonts w:ascii="方正仿宋_GBK" w:eastAsia="方正仿宋_GBK"/>
          <w:szCs w:val="32"/>
        </w:rPr>
      </w:pPr>
      <w:r>
        <w:rPr>
          <w:rFonts w:hint="eastAsia" w:ascii="方正仿宋_GBK" w:eastAsia="方正仿宋_GBK"/>
          <w:szCs w:val="32"/>
        </w:rPr>
        <w:t>在世界范围内遴选优秀企业作为世赛江苏省选拔赛技术支持单位。往届世界技能大赛和中国选拔赛指定的技术支持单位优先申报（申报见附件5）。。</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奖励措施</w:t>
      </w:r>
    </w:p>
    <w:p>
      <w:pPr>
        <w:spacing w:line="580" w:lineRule="exact"/>
        <w:ind w:left="630"/>
        <w:rPr>
          <w:rFonts w:ascii="方正仿宋_GBK" w:eastAsia="方正仿宋_GBK"/>
          <w:szCs w:val="32"/>
        </w:rPr>
      </w:pPr>
      <w:r>
        <w:rPr>
          <w:rFonts w:hint="eastAsia" w:ascii="方正仿宋_GBK" w:eastAsia="方正仿宋_GBK"/>
          <w:szCs w:val="32"/>
        </w:rPr>
        <w:t>本次选拔赛按省级一类竞赛予以表扬奖励。</w:t>
      </w:r>
    </w:p>
    <w:p>
      <w:pPr>
        <w:pStyle w:val="11"/>
        <w:numPr>
          <w:ilvl w:val="0"/>
          <w:numId w:val="1"/>
        </w:numPr>
        <w:spacing w:line="580" w:lineRule="exact"/>
        <w:ind w:firstLineChars="0"/>
        <w:rPr>
          <w:rFonts w:ascii="方正黑体_GBK" w:eastAsia="方正黑体_GBK"/>
          <w:szCs w:val="32"/>
        </w:rPr>
      </w:pPr>
      <w:r>
        <w:rPr>
          <w:rFonts w:hint="eastAsia" w:ascii="方正黑体_GBK" w:eastAsia="方正黑体_GBK"/>
          <w:szCs w:val="32"/>
        </w:rPr>
        <w:t>要求</w:t>
      </w:r>
    </w:p>
    <w:p>
      <w:pPr>
        <w:spacing w:line="580" w:lineRule="exact"/>
        <w:ind w:firstLine="627" w:firstLineChars="196"/>
        <w:rPr>
          <w:rFonts w:ascii="方正仿宋_GBK" w:eastAsia="方正仿宋_GBK"/>
          <w:szCs w:val="32"/>
        </w:rPr>
      </w:pPr>
      <w:r>
        <w:rPr>
          <w:rFonts w:hint="eastAsia" w:ascii="方正楷体_GBK" w:eastAsia="方正楷体_GBK"/>
          <w:szCs w:val="32"/>
        </w:rPr>
        <w:t>（一）高度重视，加强领导。</w:t>
      </w:r>
      <w:r>
        <w:rPr>
          <w:rFonts w:hint="eastAsia" w:ascii="方正仿宋_GBK" w:eastAsia="方正仿宋_GBK"/>
          <w:szCs w:val="32"/>
        </w:rPr>
        <w:t>职业技能竞赛引领作用凸显，各地区、各单位要充分认清形势，抓住契机，动员力量，整合资源，力争在第二届全国职业技能竞赛中取得优异成绩，引导技能人才队伍建设工作走向深入。</w:t>
      </w:r>
    </w:p>
    <w:p>
      <w:pPr>
        <w:spacing w:line="580" w:lineRule="exact"/>
        <w:ind w:firstLine="627" w:firstLineChars="196"/>
        <w:rPr>
          <w:rFonts w:ascii="方正仿宋_GBK" w:eastAsia="方正仿宋_GBK"/>
          <w:szCs w:val="32"/>
        </w:rPr>
      </w:pPr>
      <w:r>
        <w:rPr>
          <w:rFonts w:hint="eastAsia" w:ascii="方正楷体_GBK" w:eastAsia="方正楷体_GBK"/>
          <w:szCs w:val="32"/>
        </w:rPr>
        <w:t>（二）广泛发动，深入挖掘。</w:t>
      </w:r>
      <w:r>
        <w:rPr>
          <w:rFonts w:hint="eastAsia" w:ascii="方正仿宋_GBK" w:eastAsia="方正仿宋_GBK"/>
          <w:szCs w:val="32"/>
        </w:rPr>
        <w:t>各地区要进一步加大宣传力度，利用多种媒体、采取多种形式进行宣传发动，深入企业院校，过细筛查梳理，充分解释动员，依托行业专家、院校老师、基层组织，切实把条件好、素质优、潜力大的选手挖掘出来。</w:t>
      </w:r>
    </w:p>
    <w:p>
      <w:pPr>
        <w:spacing w:line="580" w:lineRule="exact"/>
        <w:ind w:left="630"/>
        <w:rPr>
          <w:rFonts w:ascii="方正楷体_GBK" w:eastAsia="方正楷体_GBK"/>
          <w:szCs w:val="32"/>
        </w:rPr>
      </w:pPr>
      <w:r>
        <w:rPr>
          <w:rFonts w:hint="eastAsia" w:ascii="方正楷体_GBK" w:eastAsia="方正楷体_GBK"/>
          <w:szCs w:val="32"/>
        </w:rPr>
        <w:t>（三）精心试点，全力保障</w:t>
      </w:r>
    </w:p>
    <w:p>
      <w:pPr>
        <w:spacing w:line="580" w:lineRule="exact"/>
        <w:ind w:firstLine="640" w:firstLineChars="200"/>
        <w:rPr>
          <w:rFonts w:ascii="方正仿宋_GBK" w:eastAsia="方正仿宋_GBK"/>
          <w:szCs w:val="32"/>
        </w:rPr>
      </w:pPr>
      <w:r>
        <w:rPr>
          <w:rFonts w:hint="eastAsia" w:ascii="方正仿宋_GBK" w:eastAsia="方正仿宋_GBK"/>
          <w:szCs w:val="32"/>
        </w:rPr>
        <w:t>新赛制试点是我省世界技能大赛备战工作的一次创新尝试，探索合理的赛制将有助于竞赛工作持续健康发展。承担赛项试点任务的各赛项专家组要根据本赛项实际制定好各赛段组织和技术文件，并全力做好组织实施工作；省决赛承办单位按新赛制要求做好牵头协调和省决赛服务保障任务；分组淘汰赛、循环积分赛参赛单位做好参赛人员和主场单位竞赛服务保障工作。参赛人员食宿费由参赛单位承担。</w:t>
      </w:r>
    </w:p>
    <w:p>
      <w:pPr>
        <w:spacing w:line="580" w:lineRule="exact"/>
        <w:ind w:firstLine="640" w:firstLineChars="200"/>
        <w:rPr>
          <w:rFonts w:ascii="方正仿宋_GBK" w:eastAsia="方正仿宋_GBK"/>
          <w:szCs w:val="32"/>
        </w:rPr>
      </w:pPr>
      <w:r>
        <w:rPr>
          <w:rFonts w:hint="eastAsia" w:ascii="方正仿宋_GBK" w:eastAsia="方正仿宋_GBK"/>
          <w:szCs w:val="32"/>
        </w:rPr>
        <w:t>申报材料电子版于2021年6月30日前报省人力资源社会保障厅，邮箱：792910578@qq.com。</w:t>
      </w:r>
    </w:p>
    <w:p>
      <w:pPr>
        <w:spacing w:line="580" w:lineRule="exact"/>
        <w:ind w:firstLine="640" w:firstLineChars="200"/>
        <w:rPr>
          <w:rFonts w:ascii="方正仿宋_GBK" w:eastAsia="方正仿宋_GBK"/>
          <w:szCs w:val="32"/>
        </w:rPr>
      </w:pPr>
      <w:r>
        <w:rPr>
          <w:rFonts w:hint="eastAsia" w:ascii="方正仿宋_GBK" w:eastAsia="方正仿宋_GBK"/>
          <w:szCs w:val="32"/>
        </w:rPr>
        <w:t>联系人：龚俊峰、汪海云</w:t>
      </w:r>
    </w:p>
    <w:p>
      <w:pPr>
        <w:spacing w:line="580" w:lineRule="exact"/>
        <w:ind w:firstLine="640" w:firstLineChars="200"/>
        <w:rPr>
          <w:rFonts w:ascii="方正仿宋_GBK" w:eastAsia="方正仿宋_GBK"/>
          <w:szCs w:val="32"/>
        </w:rPr>
      </w:pPr>
      <w:r>
        <w:rPr>
          <w:rFonts w:hint="eastAsia" w:ascii="方正仿宋_GBK" w:eastAsia="方正仿宋_GBK"/>
          <w:szCs w:val="32"/>
        </w:rPr>
        <w:t>联系电话：025—83338131、83271797</w:t>
      </w:r>
    </w:p>
    <w:p>
      <w:pPr>
        <w:spacing w:line="580" w:lineRule="exact"/>
        <w:ind w:firstLine="3520" w:firstLineChars="1100"/>
        <w:rPr>
          <w:rFonts w:ascii="方正仿宋_GBK" w:eastAsia="方正仿宋_GBK"/>
          <w:szCs w:val="32"/>
        </w:rPr>
      </w:pPr>
      <w:r>
        <w:rPr>
          <w:rFonts w:hint="eastAsia" w:ascii="方正仿宋_GBK" w:eastAsia="方正仿宋_GBK"/>
          <w:szCs w:val="32"/>
        </w:rPr>
        <w:t>江苏省人力资源和社会保障厅</w:t>
      </w:r>
    </w:p>
    <w:p>
      <w:pPr>
        <w:spacing w:line="580" w:lineRule="exact"/>
        <w:ind w:firstLine="4160" w:firstLineChars="1300"/>
        <w:rPr>
          <w:rFonts w:ascii="方正仿宋_GBK" w:eastAsia="方正仿宋_GBK"/>
          <w:szCs w:val="32"/>
        </w:rPr>
      </w:pPr>
      <w:bookmarkStart w:id="0" w:name="_GoBack"/>
      <w:bookmarkEnd w:id="0"/>
      <w:r>
        <w:rPr>
          <w:rFonts w:hint="eastAsia" w:ascii="方正仿宋_GBK" w:eastAsia="方正仿宋_GBK"/>
          <w:szCs w:val="32"/>
        </w:rPr>
        <w:t>2021年  月  日</w:t>
      </w:r>
    </w:p>
    <w:sectPr>
      <w:footerReference r:id="rId3" w:type="default"/>
      <w:pgSz w:w="11906" w:h="16838"/>
      <w:pgMar w:top="1531" w:right="1985" w:bottom="1531"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426144"/>
      <w:docPartObj>
        <w:docPartGallery w:val="AutoText"/>
      </w:docPartObj>
    </w:sdtPr>
    <w:sdtEndPr>
      <w:rPr>
        <w:rFonts w:asciiTheme="minorEastAsia" w:hAnsiTheme="minorEastAsia"/>
        <w:sz w:val="24"/>
        <w:szCs w:val="24"/>
      </w:rPr>
    </w:sdtEndPr>
    <w:sdtContent>
      <w:p>
        <w:pPr>
          <w:pStyle w:val="4"/>
          <w:jc w:val="right"/>
          <w:rPr>
            <w:rFonts w:asciiTheme="minorEastAsia" w:hAnsiTheme="minorEastAsia"/>
            <w:sz w:val="24"/>
            <w:szCs w:val="24"/>
          </w:rPr>
        </w:pPr>
        <w:r>
          <w:rPr>
            <w:rFonts w:asciiTheme="minorEastAsia" w:hAnsiTheme="minorEastAsia"/>
            <w:sz w:val="24"/>
            <w:szCs w:val="24"/>
          </w:rPr>
          <w:fldChar w:fldCharType="begin"/>
        </w:r>
        <w:r>
          <w:rPr>
            <w:rFonts w:asciiTheme="minorEastAsia" w:hAnsiTheme="minorEastAsia"/>
            <w:sz w:val="24"/>
            <w:szCs w:val="24"/>
          </w:rPr>
          <w:instrText xml:space="preserve">PAGE   \* MERGEFORMAT</w:instrText>
        </w:r>
        <w:r>
          <w:rPr>
            <w:rFonts w:asciiTheme="minorEastAsia" w:hAnsiTheme="minorEastAsia"/>
            <w:sz w:val="24"/>
            <w:szCs w:val="24"/>
          </w:rPr>
          <w:fldChar w:fldCharType="separate"/>
        </w:r>
        <w:r>
          <w:rPr>
            <w:rFonts w:asciiTheme="minorEastAsia" w:hAnsiTheme="minorEastAsia"/>
            <w:sz w:val="24"/>
            <w:szCs w:val="24"/>
            <w:lang w:val="zh-CN"/>
          </w:rPr>
          <w:t>-</w:t>
        </w:r>
        <w:r>
          <w:rPr>
            <w:rFonts w:asciiTheme="minorEastAsia" w:hAnsiTheme="minorEastAsia"/>
            <w:sz w:val="24"/>
            <w:szCs w:val="24"/>
          </w:rPr>
          <w:t xml:space="preserve"> 17 -</w:t>
        </w:r>
        <w:r>
          <w:rPr>
            <w:rFonts w:asciiTheme="minorEastAsia" w:hAnsiTheme="minorEastAsia"/>
            <w:sz w:val="24"/>
            <w:szCs w:val="24"/>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2B7DFB"/>
    <w:multiLevelType w:val="multilevel"/>
    <w:tmpl w:val="4E2B7DF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5A651E4A"/>
    <w:multiLevelType w:val="multilevel"/>
    <w:tmpl w:val="5A651E4A"/>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B54"/>
    <w:rsid w:val="00016A20"/>
    <w:rsid w:val="00020FBB"/>
    <w:rsid w:val="000454E5"/>
    <w:rsid w:val="000478A2"/>
    <w:rsid w:val="00053130"/>
    <w:rsid w:val="00057ED3"/>
    <w:rsid w:val="00066274"/>
    <w:rsid w:val="000832A7"/>
    <w:rsid w:val="000A4952"/>
    <w:rsid w:val="000C58FE"/>
    <w:rsid w:val="000C76C4"/>
    <w:rsid w:val="000D111D"/>
    <w:rsid w:val="000D35BC"/>
    <w:rsid w:val="000D616D"/>
    <w:rsid w:val="000E61BF"/>
    <w:rsid w:val="000F7C26"/>
    <w:rsid w:val="001164ED"/>
    <w:rsid w:val="00120882"/>
    <w:rsid w:val="0012225E"/>
    <w:rsid w:val="00145B84"/>
    <w:rsid w:val="00157512"/>
    <w:rsid w:val="00157E45"/>
    <w:rsid w:val="00182B92"/>
    <w:rsid w:val="001A365F"/>
    <w:rsid w:val="001A76A5"/>
    <w:rsid w:val="001C2DF9"/>
    <w:rsid w:val="001D1390"/>
    <w:rsid w:val="001E5968"/>
    <w:rsid w:val="001F2317"/>
    <w:rsid w:val="001F4CAE"/>
    <w:rsid w:val="00204DB8"/>
    <w:rsid w:val="00215AEA"/>
    <w:rsid w:val="00232D36"/>
    <w:rsid w:val="0023554C"/>
    <w:rsid w:val="00245275"/>
    <w:rsid w:val="00245B54"/>
    <w:rsid w:val="00270C6D"/>
    <w:rsid w:val="00280D18"/>
    <w:rsid w:val="002953E1"/>
    <w:rsid w:val="002B7C98"/>
    <w:rsid w:val="002C5046"/>
    <w:rsid w:val="0030030E"/>
    <w:rsid w:val="00316E30"/>
    <w:rsid w:val="00320D94"/>
    <w:rsid w:val="0034027A"/>
    <w:rsid w:val="003478B1"/>
    <w:rsid w:val="0035535D"/>
    <w:rsid w:val="00372E07"/>
    <w:rsid w:val="003850D9"/>
    <w:rsid w:val="003C0608"/>
    <w:rsid w:val="003D2044"/>
    <w:rsid w:val="003E4FA2"/>
    <w:rsid w:val="003F3370"/>
    <w:rsid w:val="00401B3F"/>
    <w:rsid w:val="004111B5"/>
    <w:rsid w:val="00424494"/>
    <w:rsid w:val="004474CC"/>
    <w:rsid w:val="00447E4B"/>
    <w:rsid w:val="00461641"/>
    <w:rsid w:val="004619CD"/>
    <w:rsid w:val="004D5CA2"/>
    <w:rsid w:val="004E6CBF"/>
    <w:rsid w:val="005147BE"/>
    <w:rsid w:val="00534798"/>
    <w:rsid w:val="00555CA1"/>
    <w:rsid w:val="0056312E"/>
    <w:rsid w:val="00582146"/>
    <w:rsid w:val="005873FC"/>
    <w:rsid w:val="005922FC"/>
    <w:rsid w:val="00593BA4"/>
    <w:rsid w:val="005C33F0"/>
    <w:rsid w:val="005C5646"/>
    <w:rsid w:val="005F0F25"/>
    <w:rsid w:val="005F20CA"/>
    <w:rsid w:val="00602500"/>
    <w:rsid w:val="00604E3B"/>
    <w:rsid w:val="00607F69"/>
    <w:rsid w:val="006211DB"/>
    <w:rsid w:val="0062412F"/>
    <w:rsid w:val="006327A2"/>
    <w:rsid w:val="0066732F"/>
    <w:rsid w:val="006759BD"/>
    <w:rsid w:val="00680EF0"/>
    <w:rsid w:val="006A4F8A"/>
    <w:rsid w:val="006B47EE"/>
    <w:rsid w:val="006D3A4C"/>
    <w:rsid w:val="006E1FB7"/>
    <w:rsid w:val="00727537"/>
    <w:rsid w:val="00740B43"/>
    <w:rsid w:val="007456BB"/>
    <w:rsid w:val="007558EC"/>
    <w:rsid w:val="007574B6"/>
    <w:rsid w:val="00761C44"/>
    <w:rsid w:val="00791944"/>
    <w:rsid w:val="007A2DCD"/>
    <w:rsid w:val="007A79DD"/>
    <w:rsid w:val="007C02C8"/>
    <w:rsid w:val="007C7122"/>
    <w:rsid w:val="007D4A7C"/>
    <w:rsid w:val="007E0664"/>
    <w:rsid w:val="007E6775"/>
    <w:rsid w:val="007F125A"/>
    <w:rsid w:val="007F6177"/>
    <w:rsid w:val="0080339C"/>
    <w:rsid w:val="008119A3"/>
    <w:rsid w:val="00823220"/>
    <w:rsid w:val="008323C0"/>
    <w:rsid w:val="0085287D"/>
    <w:rsid w:val="0086240B"/>
    <w:rsid w:val="008643EC"/>
    <w:rsid w:val="00871D85"/>
    <w:rsid w:val="00887573"/>
    <w:rsid w:val="008A3DD5"/>
    <w:rsid w:val="008C6F78"/>
    <w:rsid w:val="008E108C"/>
    <w:rsid w:val="009042B3"/>
    <w:rsid w:val="00914B74"/>
    <w:rsid w:val="00935291"/>
    <w:rsid w:val="009357C6"/>
    <w:rsid w:val="00947807"/>
    <w:rsid w:val="0095107D"/>
    <w:rsid w:val="009566FA"/>
    <w:rsid w:val="009671A2"/>
    <w:rsid w:val="00974D70"/>
    <w:rsid w:val="00994D5F"/>
    <w:rsid w:val="009B3183"/>
    <w:rsid w:val="009E143D"/>
    <w:rsid w:val="009F5E44"/>
    <w:rsid w:val="00A12D06"/>
    <w:rsid w:val="00A24E23"/>
    <w:rsid w:val="00A42843"/>
    <w:rsid w:val="00A447CB"/>
    <w:rsid w:val="00A44EBA"/>
    <w:rsid w:val="00A577F8"/>
    <w:rsid w:val="00A81324"/>
    <w:rsid w:val="00A85013"/>
    <w:rsid w:val="00AA2FD5"/>
    <w:rsid w:val="00AE58D7"/>
    <w:rsid w:val="00AF1D37"/>
    <w:rsid w:val="00B05AE4"/>
    <w:rsid w:val="00B17DD8"/>
    <w:rsid w:val="00B37E29"/>
    <w:rsid w:val="00B526F1"/>
    <w:rsid w:val="00B52EB0"/>
    <w:rsid w:val="00B64D52"/>
    <w:rsid w:val="00B73B7C"/>
    <w:rsid w:val="00B866B5"/>
    <w:rsid w:val="00BB3716"/>
    <w:rsid w:val="00BC615C"/>
    <w:rsid w:val="00BD34A3"/>
    <w:rsid w:val="00BF2734"/>
    <w:rsid w:val="00BF57B8"/>
    <w:rsid w:val="00C11C9B"/>
    <w:rsid w:val="00C40FAF"/>
    <w:rsid w:val="00C4144C"/>
    <w:rsid w:val="00C4760B"/>
    <w:rsid w:val="00C622A9"/>
    <w:rsid w:val="00CA3B94"/>
    <w:rsid w:val="00CC7FB1"/>
    <w:rsid w:val="00CD31CA"/>
    <w:rsid w:val="00CD35EC"/>
    <w:rsid w:val="00CD5765"/>
    <w:rsid w:val="00D33760"/>
    <w:rsid w:val="00D727D2"/>
    <w:rsid w:val="00D808C0"/>
    <w:rsid w:val="00DB3A15"/>
    <w:rsid w:val="00DC78ED"/>
    <w:rsid w:val="00DD2BC6"/>
    <w:rsid w:val="00DD36B6"/>
    <w:rsid w:val="00DD37B6"/>
    <w:rsid w:val="00DF0D69"/>
    <w:rsid w:val="00E00FA6"/>
    <w:rsid w:val="00E12BB3"/>
    <w:rsid w:val="00E55ABE"/>
    <w:rsid w:val="00E773CC"/>
    <w:rsid w:val="00E96B8C"/>
    <w:rsid w:val="00EF4D4E"/>
    <w:rsid w:val="00F1379F"/>
    <w:rsid w:val="00F8723C"/>
    <w:rsid w:val="00FA3E74"/>
    <w:rsid w:val="00FA6D11"/>
    <w:rsid w:val="00FD3533"/>
    <w:rsid w:val="00FE7C37"/>
    <w:rsid w:val="36712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8"/>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uiPriority w:val="99"/>
    <w:rPr>
      <w:b/>
      <w:bCs/>
    </w:rPr>
  </w:style>
  <w:style w:type="table" w:styleId="8">
    <w:name w:val="Table Grid"/>
    <w:basedOn w:val="7"/>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uiPriority w:val="99"/>
    <w:rPr>
      <w:sz w:val="21"/>
      <w:szCs w:val="21"/>
    </w:rPr>
  </w:style>
  <w:style w:type="paragraph" w:styleId="11">
    <w:name w:val="List Paragraph"/>
    <w:basedOn w:val="1"/>
    <w:qFormat/>
    <w:uiPriority w:val="34"/>
    <w:pPr>
      <w:ind w:firstLine="420" w:firstLineChars="200"/>
    </w:pPr>
  </w:style>
  <w:style w:type="character" w:customStyle="1" w:styleId="12">
    <w:name w:val="页脚 Char"/>
    <w:basedOn w:val="9"/>
    <w:semiHidden/>
    <w:uiPriority w:val="99"/>
    <w:rPr>
      <w:sz w:val="18"/>
      <w:szCs w:val="18"/>
    </w:rPr>
  </w:style>
  <w:style w:type="character" w:customStyle="1" w:styleId="13">
    <w:name w:val="页脚 Char1"/>
    <w:basedOn w:val="9"/>
    <w:link w:val="4"/>
    <w:uiPriority w:val="99"/>
    <w:rPr>
      <w:sz w:val="18"/>
      <w:szCs w:val="18"/>
    </w:rPr>
  </w:style>
  <w:style w:type="character" w:customStyle="1" w:styleId="14">
    <w:name w:val="页眉 Char"/>
    <w:basedOn w:val="9"/>
    <w:link w:val="5"/>
    <w:uiPriority w:val="99"/>
    <w:rPr>
      <w:sz w:val="18"/>
      <w:szCs w:val="18"/>
    </w:rPr>
  </w:style>
  <w:style w:type="character" w:customStyle="1" w:styleId="15">
    <w:name w:val="批注文字 Char"/>
    <w:basedOn w:val="9"/>
    <w:link w:val="2"/>
    <w:semiHidden/>
    <w:uiPriority w:val="99"/>
    <w:rPr>
      <w:sz w:val="32"/>
    </w:rPr>
  </w:style>
  <w:style w:type="character" w:customStyle="1" w:styleId="16">
    <w:name w:val="批注主题 Char"/>
    <w:basedOn w:val="15"/>
    <w:link w:val="6"/>
    <w:semiHidden/>
    <w:uiPriority w:val="99"/>
    <w:rPr>
      <w:b/>
      <w:bCs/>
      <w:sz w:val="32"/>
    </w:rPr>
  </w:style>
  <w:style w:type="paragraph" w:customStyle="1" w:styleId="17">
    <w:name w:val="Revision"/>
    <w:hidden/>
    <w:semiHidden/>
    <w:uiPriority w:val="99"/>
    <w:rPr>
      <w:rFonts w:asciiTheme="minorHAnsi" w:hAnsiTheme="minorHAnsi" w:eastAsiaTheme="minorEastAsia" w:cstheme="minorBidi"/>
      <w:kern w:val="2"/>
      <w:sz w:val="32"/>
      <w:szCs w:val="22"/>
      <w:lang w:val="en-US" w:eastAsia="zh-CN" w:bidi="ar-SA"/>
    </w:rPr>
  </w:style>
  <w:style w:type="character" w:customStyle="1" w:styleId="18">
    <w:name w:val="批注框文本 Char"/>
    <w:basedOn w:val="9"/>
    <w:link w:val="3"/>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21</Pages>
  <Words>2241</Words>
  <Characters>12780</Characters>
  <Lines>106</Lines>
  <Paragraphs>29</Paragraphs>
  <TotalTime>96</TotalTime>
  <ScaleCrop>false</ScaleCrop>
  <LinksUpToDate>false</LinksUpToDate>
  <CharactersWithSpaces>14992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2021-06-01T07:50:00Z</dcterms:created>
  <dc:creator>hp</dc:creator>
  <cp:lastModifiedBy>敢子</cp:lastModifiedBy>
  <dcterms:modified xsi:type="dcterms:W3CDTF">2021-06-08T03:19:29Z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BD88D3971E97478CAEE53BB1FB93B95A</vt:lpwstr>
  </property>
</Properties>
</file>