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/>
        <w:rPr>
          <w:rFonts w:hint="eastAsia" w:ascii="Times New Roman" w:hAnsi="Times New Roman" w:eastAsia="黑体"/>
          <w:b w:val="0"/>
          <w:sz w:val="32"/>
          <w:lang w:val="en-US" w:eastAsia="zh-CN"/>
        </w:rPr>
      </w:pPr>
      <w:r>
        <w:rPr>
          <w:rFonts w:hint="default" w:ascii="Times New Roman" w:hAnsi="Times New Roman" w:eastAsia="黑体"/>
          <w:b w:val="0"/>
          <w:sz w:val="32"/>
        </w:rPr>
        <w:t>附件</w:t>
      </w:r>
      <w:r>
        <w:rPr>
          <w:rFonts w:hint="eastAsia" w:ascii="Times New Roman" w:hAnsi="Times New Roman" w:eastAsia="黑体"/>
          <w:b w:val="0"/>
          <w:sz w:val="32"/>
          <w:lang w:val="en-US" w:eastAsia="zh-CN"/>
        </w:rPr>
        <w:t>1</w:t>
      </w:r>
    </w:p>
    <w:p>
      <w:pPr>
        <w:rPr>
          <w:rFonts w:asciiTheme="minorHAnsi" w:hAnsiTheme="minorHAnsi" w:eastAsiaTheme="minorEastAsia"/>
        </w:rPr>
      </w:pPr>
    </w:p>
    <w:p>
      <w:pPr>
        <w:spacing w:line="480" w:lineRule="auto"/>
        <w:ind w:right="28"/>
        <w:jc w:val="center"/>
        <w:rPr>
          <w:rFonts w:ascii="Times New Roman" w:hAnsi="Times New Roman" w:eastAsia="方正小标宋简体"/>
          <w:kern w:val="0"/>
          <w:sz w:val="44"/>
          <w:szCs w:val="44"/>
        </w:rPr>
      </w:pPr>
      <w:r>
        <w:rPr>
          <w:rFonts w:ascii="Times New Roman" w:hAnsi="Times New Roman" w:eastAsia="方正小标宋简体"/>
          <w:kern w:val="0"/>
          <w:sz w:val="44"/>
          <w:szCs w:val="44"/>
        </w:rPr>
        <w:t>2023年职业教育在线精品课程观测</w:t>
      </w:r>
      <w:bookmarkStart w:id="0" w:name="_GoBack"/>
      <w:bookmarkEnd w:id="0"/>
      <w:r>
        <w:rPr>
          <w:rFonts w:ascii="Times New Roman" w:hAnsi="Times New Roman" w:eastAsia="方正小标宋简体"/>
          <w:kern w:val="0"/>
          <w:sz w:val="44"/>
          <w:szCs w:val="44"/>
        </w:rPr>
        <w:t>指标</w:t>
      </w:r>
    </w:p>
    <w:p>
      <w:pPr>
        <w:spacing w:line="520" w:lineRule="exact"/>
        <w:ind w:right="26"/>
        <w:jc w:val="center"/>
        <w:rPr>
          <w:rFonts w:ascii="Times New Roman" w:hAnsi="Times New Roman" w:eastAsia="黑体"/>
          <w:kern w:val="0"/>
          <w:sz w:val="28"/>
          <w:szCs w:val="28"/>
        </w:rPr>
      </w:pPr>
      <w:r>
        <w:rPr>
          <w:rFonts w:ascii="Times New Roman" w:hAnsi="Times New Roman" w:eastAsia="黑体"/>
          <w:kern w:val="0"/>
          <w:sz w:val="28"/>
          <w:szCs w:val="28"/>
        </w:rPr>
        <w:t>（</w:t>
      </w:r>
      <w:r>
        <w:rPr>
          <w:rFonts w:hint="eastAsia" w:ascii="Times New Roman" w:hAnsi="Times New Roman" w:eastAsia="黑体"/>
          <w:kern w:val="0"/>
          <w:sz w:val="28"/>
          <w:szCs w:val="28"/>
          <w:lang w:val="en-US" w:eastAsia="zh-CN"/>
        </w:rPr>
        <w:t>一</w:t>
      </w:r>
      <w:r>
        <w:rPr>
          <w:rFonts w:ascii="Times New Roman" w:hAnsi="Times New Roman" w:eastAsia="黑体"/>
          <w:kern w:val="0"/>
          <w:sz w:val="28"/>
          <w:szCs w:val="28"/>
        </w:rPr>
        <w:t>）评议性指标</w:t>
      </w:r>
    </w:p>
    <w:tbl>
      <w:tblPr>
        <w:tblStyle w:val="9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1329"/>
        <w:gridCol w:w="5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1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一级指标</w:t>
            </w: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二级指标</w:t>
            </w:r>
          </w:p>
        </w:tc>
        <w:tc>
          <w:tcPr>
            <w:tcW w:w="591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观测点及要求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授课教师团队</w:t>
            </w: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团队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构成与要求</w:t>
            </w:r>
          </w:p>
        </w:tc>
        <w:tc>
          <w:tcPr>
            <w:tcW w:w="5911" w:type="dxa"/>
            <w:shd w:val="clear" w:color="auto" w:fill="auto"/>
            <w:vAlign w:val="center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1.团队结构合理，师德师风优良，教学表现力和亲和力强，教学成果积累丰富，教学改革意识强，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数字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素养高。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2.课程负责人应具有副高级及以上职称，具有丰富的教学经验和扎实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  <w:t>的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专业功底，在本专业领域具有一定影响力，同一课程负责人限牵头申报一门课程。专业课团队主要成员中应有“双师型”教师。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3.专业课“双师型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  <w:t>”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教师及行业企业兼职教师各具特色，团队主要成员须与课程平台显示人员基本一致，配备必要的助理教师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团队教学与建设</w:t>
            </w:r>
          </w:p>
        </w:tc>
        <w:tc>
          <w:tcPr>
            <w:tcW w:w="5911" w:type="dxa"/>
            <w:shd w:val="clear" w:color="auto" w:fill="auto"/>
            <w:vAlign w:val="center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1.团队拥有丰富教学经验，开展有关教学研究。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2.团队教学能力突出、教学成果显著，获得有关教学奖励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课程设计</w:t>
            </w: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课程定位与目标</w:t>
            </w:r>
          </w:p>
        </w:tc>
        <w:tc>
          <w:tcPr>
            <w:tcW w:w="5911" w:type="dxa"/>
            <w:shd w:val="clear" w:color="auto" w:fill="auto"/>
            <w:vAlign w:val="center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1.落实立德树人根本任务，符合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lang w:val="en-US" w:eastAsia="zh-CN"/>
              </w:rPr>
              <w:t>相关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highlight w:val="none"/>
                <w:lang w:val="en-US" w:eastAsia="zh-CN"/>
              </w:rPr>
              <w:t>职业教育国家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教学标准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人才培养方案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lang w:val="en-US" w:eastAsia="zh-CN"/>
              </w:rPr>
              <w:t>课程标准要求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，课程性质明确，与前、后接续课程衔接得当。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2.课程目标定位准确、条目清晰、内容具体、可评可测。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3.公共基础课程注重打好科学文化基础、培养学生思想政治素质、学科核心素养；专业（技能）课程注重提升专业能力、掌握专业技能，培养学生职业道德、综合素养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课程结构与内容</w:t>
            </w:r>
          </w:p>
        </w:tc>
        <w:tc>
          <w:tcPr>
            <w:tcW w:w="5911" w:type="dxa"/>
            <w:vAlign w:val="center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1.课程内容组织与安排凸显职业教育类型特征，公共基础课程内容及时反映新知识，体现学科知识与行业（或职业）应用场景的融合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lang w:eastAsia="zh-CN"/>
              </w:rPr>
              <w:t>；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专业（技能）课程对接新产业、新业态、新模式、新职业，反映相关领域新方法、新技术、新工艺、新标准，体现行业企业参与特征，紧贴本专业相关技术领域职业岗位（群）的能力要求。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2.落实课程思政要求，结合不同课程特点、思维方法和价值理念，挖掘课程思政元素，有机融入课程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lang w:val="en-US" w:eastAsia="zh-CN"/>
              </w:rPr>
              <w:t>教学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3.课程内容完整、结构合理、逻辑清晰，学习单元划分合理、衔接有序、教学学时分配合理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课程建设</w:t>
            </w: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基本信息与规范</w:t>
            </w:r>
          </w:p>
        </w:tc>
        <w:tc>
          <w:tcPr>
            <w:tcW w:w="5911" w:type="dxa"/>
            <w:vAlign w:val="center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1.课程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基本信息完整，课程页面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应包括课程介绍、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教学团队、教材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lang w:val="en-US" w:eastAsia="zh-CN"/>
              </w:rPr>
              <w:t>选用情况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lang w:val="en-US" w:eastAsia="zh-CN"/>
              </w:rPr>
              <w:t>相关辅助学习材料、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相关职业类证书等信息。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2.课程页面布局合理、信息量适度、色彩搭配协调。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3.导航清晰明确，符号规范。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语言文字、图片、地图等使用符合相关规定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资源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建设与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应用</w:t>
            </w:r>
          </w:p>
        </w:tc>
        <w:tc>
          <w:tcPr>
            <w:tcW w:w="5911" w:type="dxa"/>
            <w:vAlign w:val="center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1.课程资源以自主设计与开发为主，与课程内容相匹配、全覆盖，内在逻辑合理、内容完整精炼，能够满足学校教学和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学生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学习需求，做到能学辅教；体现课程思政建设要求，体现行业发展的前沿技术和最新成果。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2.课程内容丰富、形式多样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  <w:t>原创度高、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>质量精良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  <w:t>符合大众审美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，针对各模块知识点或技能点设置对应的授课视频、动画、虚拟仿真、演示文稿等教学资源和测验、作业、考试等教学活动。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3.科学规划在线学习资源，动画、视频、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音频、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虚拟仿真等类型资源一般不少于30%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课程管理与保障</w:t>
            </w:r>
          </w:p>
        </w:tc>
        <w:tc>
          <w:tcPr>
            <w:tcW w:w="5911" w:type="dxa"/>
            <w:vAlign w:val="center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1.学校在线课程管理制度和机构健全，已出台在线课程教学管理办法，对课程选用、教学、评价、督导和学分认定等进行规范，做到线上与线下课程教学同管理、同要求，有支持在线课程建设和实施的激励制度，提供人员、经费等保障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2.重视知识产权等问题，与院校、企业、团队合作签署的知识产权保障协议（或书面约定）规范严谨、平等互利。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教材选用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lang w:val="en-US" w:eastAsia="zh-CN"/>
              </w:rPr>
              <w:t>规范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合理，符合有关规定。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引用资源规范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科学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，符合教学需求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课程实施</w:t>
            </w: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教学组织与安排</w:t>
            </w:r>
          </w:p>
        </w:tc>
        <w:tc>
          <w:tcPr>
            <w:tcW w:w="5911" w:type="dxa"/>
            <w:shd w:val="clear" w:color="auto" w:fill="auto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1.围绕学习任务，细化具体教学目标，合理把握教学进度、组织具体教学。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2.教学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设计科学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，恰当进行课程导入，课程重点难点讲授准确全面，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方法恰当，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合理使用案例式、探究式等多种教学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方法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3.出镜教师教学过程中教仪教态自然大方，语言表达清晰、深入浅出，注重教学互动、激发学生学习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主动性、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积极性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教学活动与过程</w:t>
            </w:r>
          </w:p>
        </w:tc>
        <w:tc>
          <w:tcPr>
            <w:tcW w:w="5911" w:type="dxa"/>
            <w:shd w:val="clear" w:color="auto" w:fill="auto"/>
          </w:tcPr>
          <w:p>
            <w:pPr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1.各项教学活动完整、有效，教学过程可回溯，关注教与学全过程的信息采集，教学过程材料完整。</w:t>
            </w:r>
          </w:p>
          <w:p>
            <w:pPr>
              <w:widowControl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</w:rPr>
              <w:t>合理使用信息技术手段创新教学模式，教学过程突出学生中心，适合在线学习或混合式教学，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>体现行动导向教学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，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</w:rPr>
              <w:t>能够激发学生学习兴趣和潜能。</w:t>
            </w:r>
          </w:p>
          <w:p>
            <w:pPr>
              <w:widowControl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3.提供在线测试、即时在线反馈、作业提交和批改、网上社区讨论等学习支持服务，促进师生之间、学生之间进行资源共享、问题交流和协作学习，实现师生、生生的深度有效互动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学习考核与评价</w:t>
            </w:r>
          </w:p>
        </w:tc>
        <w:tc>
          <w:tcPr>
            <w:tcW w:w="5911" w:type="dxa"/>
            <w:shd w:val="clear" w:color="auto" w:fill="auto"/>
          </w:tcPr>
          <w:p>
            <w:pPr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1.建立多元化学习评价体系，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包括但不限于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结果评价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过程评价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增值评价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综合评价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等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。</w:t>
            </w:r>
          </w:p>
          <w:p>
            <w:pPr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2.探索基于大数据的信息采集分析，全程记录和跟踪教师的教学和学生学习过程，形成教与学的正向反馈。</w:t>
            </w:r>
          </w:p>
          <w:p>
            <w:pPr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bCs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3.课程建设过程中，不断完善课程考核评价机制，有效反思课程建设经验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及时修正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不足，教学诊断改进积极有效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应用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效果</w:t>
            </w: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教学效果与反馈</w:t>
            </w:r>
          </w:p>
        </w:tc>
        <w:tc>
          <w:tcPr>
            <w:tcW w:w="5911" w:type="dxa"/>
            <w:vAlign w:val="center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学生适应在线学习方式，可以有效开展个性化学习与合作学习，对课程的参与度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高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、学习获得感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强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，学习效果好。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2.教师具有较强的信息化教学能力，教学团队配合默契，带动其他教育教学改革取得实质性成果。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3.学生对教师教学以及课程的满意度较高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技术支持与服务</w:t>
            </w:r>
          </w:p>
        </w:tc>
        <w:tc>
          <w:tcPr>
            <w:tcW w:w="5911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1.各类教学资源应用充分，活跃用户数占课程注册使用人数的比例较高。</w:t>
            </w:r>
          </w:p>
          <w:p>
            <w:pPr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2.在线课程教学管理责任有效落实，有效防范在线刷课、替课、刷考、替考行为。</w:t>
            </w:r>
          </w:p>
          <w:p>
            <w:pPr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3.课程平台能够保障信息安全，能够在多种终端上运行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同时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满足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提供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开放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用户身份数据、课程访问数据、学习行为数据以及相关运行数据等监管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132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课程示范与引领</w:t>
            </w:r>
          </w:p>
        </w:tc>
        <w:tc>
          <w:tcPr>
            <w:tcW w:w="5911" w:type="dxa"/>
          </w:tcPr>
          <w:p>
            <w:pPr>
              <w:widowControl/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1.在教学和课程改革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方面与同类课程相比优势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明显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，具有推广价值。</w:t>
            </w:r>
          </w:p>
          <w:p>
            <w:pPr>
              <w:widowControl/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2.面向其他院校学生、企业员工和社会学习者开放学习，可供其他院校教师教学引用，用户使用活跃度高，应用效果良好、社会影响力大，认可度高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课程创新</w:t>
            </w:r>
          </w:p>
        </w:tc>
        <w:tc>
          <w:tcPr>
            <w:tcW w:w="7240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充分彰显职业教育类型特征，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</w:rPr>
              <w:t>体现专业数字化转型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新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要求，能够较好解决职业教育教学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痛点难点问题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课程与教学改革理念具有原创性、教学实践效果显著，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在落实课程思政、优化教学内容、创新教学模式、改进教学评价、运用信息技术等方面创新明显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能够提供双语教学资源、进行双语教学等</w:t>
            </w:r>
          </w:p>
        </w:tc>
      </w:tr>
    </w:tbl>
    <w:p>
      <w:pPr>
        <w:rPr>
          <w:rFonts w:ascii="Times New Roman" w:hAnsi="Times New Roman" w:eastAsia="黑体"/>
          <w:kern w:val="0"/>
          <w:sz w:val="28"/>
          <w:szCs w:val="28"/>
        </w:rPr>
      </w:pPr>
      <w:r>
        <w:rPr>
          <w:rFonts w:ascii="Times New Roman" w:hAnsi="Times New Roman" w:eastAsia="黑体"/>
          <w:kern w:val="0"/>
          <w:sz w:val="28"/>
          <w:szCs w:val="28"/>
        </w:rPr>
        <w:br w:type="page"/>
      </w:r>
    </w:p>
    <w:p>
      <w:pPr>
        <w:spacing w:line="520" w:lineRule="exact"/>
        <w:ind w:right="26"/>
        <w:jc w:val="center"/>
        <w:rPr>
          <w:rFonts w:ascii="Times New Roman" w:hAnsi="Times New Roman" w:eastAsia="黑体"/>
          <w:kern w:val="0"/>
          <w:sz w:val="28"/>
          <w:szCs w:val="28"/>
        </w:rPr>
      </w:pPr>
      <w:r>
        <w:rPr>
          <w:rFonts w:ascii="Times New Roman" w:hAnsi="Times New Roman" w:eastAsia="黑体"/>
          <w:kern w:val="0"/>
          <w:sz w:val="28"/>
          <w:szCs w:val="28"/>
        </w:rPr>
        <w:t>（</w:t>
      </w:r>
      <w:r>
        <w:rPr>
          <w:rFonts w:hint="eastAsia" w:ascii="Times New Roman" w:hAnsi="Times New Roman" w:eastAsia="黑体"/>
          <w:kern w:val="0"/>
          <w:sz w:val="28"/>
          <w:szCs w:val="28"/>
          <w:lang w:val="en-US" w:eastAsia="zh-CN"/>
        </w:rPr>
        <w:t>二</w:t>
      </w:r>
      <w:r>
        <w:rPr>
          <w:rFonts w:ascii="Times New Roman" w:hAnsi="Times New Roman" w:eastAsia="黑体"/>
          <w:kern w:val="0"/>
          <w:sz w:val="28"/>
          <w:szCs w:val="28"/>
        </w:rPr>
        <w:t>）否定性指标</w:t>
      </w:r>
    </w:p>
    <w:tbl>
      <w:tblPr>
        <w:tblStyle w:val="9"/>
        <w:tblW w:w="8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3938"/>
        <w:gridCol w:w="3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kern w:val="0"/>
                <w:szCs w:val="21"/>
              </w:rPr>
              <w:t>维度</w:t>
            </w: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kern w:val="0"/>
                <w:szCs w:val="21"/>
              </w:rPr>
              <w:t>具体指标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kern w:val="0"/>
                <w:szCs w:val="21"/>
              </w:rPr>
              <w:t>观测点及方式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课程资格</w:t>
            </w: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课程与推荐申报类型不符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查看教务系统截图，核实是否是专业人才培养方案的在线课程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开设时间或期数不符合申报要求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查看课程平台（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包括主要开课平台和其他开课平台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）运行情况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和提交的申报材料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，核实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kern w:val="0"/>
                <w:lang w:val="en-US" w:eastAsia="zh-CN"/>
              </w:rPr>
              <w:t>总学时是否不低于</w:t>
            </w:r>
            <w:r>
              <w:rPr>
                <w:rFonts w:hint="default" w:ascii="Times New Roman" w:hAnsi="Times New Roman" w:eastAsia="仿宋_GB2312" w:cs="Times New Roman"/>
                <w:kern w:val="0"/>
              </w:rPr>
              <w:t>32学时</w:t>
            </w:r>
            <w:r>
              <w:rPr>
                <w:rFonts w:hint="eastAsia" w:ascii="Times New Roman" w:hAnsi="Times New Roman" w:eastAsia="仿宋_GB2312" w:cs="Times New Roman"/>
                <w:kern w:val="0"/>
                <w:lang w:val="en-US" w:eastAsia="zh-CN"/>
              </w:rPr>
              <w:t>以及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申报截止日期前是否完成至少两（学）期教学实践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教材选用不合规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查看提交的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材料，核实选用教材是否符合《职业院校教材管理办法》等有关要求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课程基本信息明显不一致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查看教务系统截图，重点比对课程名称、授课教师、学时等有关说明材料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课程线上教学资源、教学活动无法查看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查看课程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网址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课程含不安全外部链接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查看课程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网址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课程内容存在政治性、科学性、规范性问题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查看课程内容和有关材料，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核实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是否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存在意识形态问题或科学性问题，是否存在其他重大规范性问题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教师资格</w:t>
            </w: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团队成员存在师德师风方面问题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查看“团队成员政治审查意见”以及提交的有关材料是否合规，或举报属实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申报材料</w:t>
            </w: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申报材料造假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查看提交的材料，或举报属实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有侵权现象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查看课程内容和有关材料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，或举报属实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平台资格</w:t>
            </w:r>
          </w:p>
        </w:tc>
        <w:tc>
          <w:tcPr>
            <w:tcW w:w="3938" w:type="dxa"/>
            <w:shd w:val="clear" w:color="auto" w:fill="auto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工信部ICP网站备案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公安机关网站备案号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信息安全等级保护证书未达到三级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查看“提供的课程访问网址”和有关材料，或举报属实</w:t>
            </w:r>
          </w:p>
        </w:tc>
      </w:tr>
    </w:tbl>
    <w:p>
      <w:pPr>
        <w:spacing w:line="520" w:lineRule="exact"/>
        <w:ind w:right="26"/>
        <w:jc w:val="center"/>
        <w:rPr>
          <w:rFonts w:ascii="Times New Roman" w:hAnsi="Times New Roman" w:eastAsia="黑体"/>
          <w:kern w:val="0"/>
          <w:sz w:val="28"/>
          <w:szCs w:val="28"/>
        </w:rPr>
      </w:pPr>
    </w:p>
    <w:p>
      <w:pPr>
        <w:spacing w:line="520" w:lineRule="exact"/>
        <w:ind w:right="26"/>
        <w:jc w:val="center"/>
        <w:rPr>
          <w:rFonts w:ascii="Times New Roman" w:hAnsi="Times New Roman" w:eastAsia="黑体"/>
          <w:kern w:val="0"/>
          <w:sz w:val="28"/>
          <w:szCs w:val="28"/>
        </w:rPr>
      </w:pPr>
    </w:p>
    <w:p>
      <w:pPr>
        <w:spacing w:line="520" w:lineRule="exact"/>
        <w:ind w:right="26"/>
        <w:jc w:val="center"/>
        <w:rPr>
          <w:rFonts w:ascii="Times New Roman" w:hAnsi="Times New Roman" w:eastAsia="黑体"/>
          <w:kern w:val="0"/>
          <w:sz w:val="28"/>
          <w:szCs w:val="28"/>
        </w:rPr>
      </w:pPr>
    </w:p>
    <w:p>
      <w:pPr>
        <w:rPr>
          <w:rFonts w:ascii="Times New Roman" w:hAnsi="Times New Roman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850" w:gutter="0"/>
      <w:pgNumType w:fmt="numberInDash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21C817D-B36A-4377-877A-1563CD827A6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C6A63B0-F607-42C9-B106-F71F458A348D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42CCE30D-F135-45B9-A3C5-D1BD242150E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3FF0A6ED-73C3-4926-A96F-E2EBD72C004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Style w:val="12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ql5uc8AAAAFAQAADwAAAAAAAAABACAAAAAiAAAAZHJzL2Rvd25yZXYueG1sUEsB&#10;AhQAFAAAAAgAh07iQHwXDx3FAQAAmwMAAA4AAAAAAAAAAQAgAAAAHg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Style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1ZDllMGI2NDMyMzE3MTc1MzNkNDUzZjg5MGIzYzYifQ=="/>
    <w:docVar w:name="KSO_WPS_MARK_KEY" w:val="cf10db0a-a246-4e5e-956b-53c70147d7ea"/>
  </w:docVars>
  <w:rsids>
    <w:rsidRoot w:val="49CB5D72"/>
    <w:rsid w:val="00011E26"/>
    <w:rsid w:val="00017F47"/>
    <w:rsid w:val="00097966"/>
    <w:rsid w:val="001869BC"/>
    <w:rsid w:val="001E59FC"/>
    <w:rsid w:val="001F6388"/>
    <w:rsid w:val="001F7F44"/>
    <w:rsid w:val="00201AC2"/>
    <w:rsid w:val="00234B53"/>
    <w:rsid w:val="00330846"/>
    <w:rsid w:val="00355335"/>
    <w:rsid w:val="003A0AE7"/>
    <w:rsid w:val="00460FD9"/>
    <w:rsid w:val="00483918"/>
    <w:rsid w:val="004A4E83"/>
    <w:rsid w:val="004A5E9F"/>
    <w:rsid w:val="0054605D"/>
    <w:rsid w:val="0056497F"/>
    <w:rsid w:val="005775B9"/>
    <w:rsid w:val="0062161A"/>
    <w:rsid w:val="00652A0C"/>
    <w:rsid w:val="006F44D3"/>
    <w:rsid w:val="00726BC9"/>
    <w:rsid w:val="007B3C5C"/>
    <w:rsid w:val="00805874"/>
    <w:rsid w:val="0082667E"/>
    <w:rsid w:val="008A3FB6"/>
    <w:rsid w:val="008F6BD0"/>
    <w:rsid w:val="00975AE0"/>
    <w:rsid w:val="00A02D7B"/>
    <w:rsid w:val="00A81EA4"/>
    <w:rsid w:val="00AA4FA5"/>
    <w:rsid w:val="00AC37FE"/>
    <w:rsid w:val="00AF6469"/>
    <w:rsid w:val="00AF7EA9"/>
    <w:rsid w:val="00B06CAA"/>
    <w:rsid w:val="00B3406A"/>
    <w:rsid w:val="00B62F03"/>
    <w:rsid w:val="00BC11A2"/>
    <w:rsid w:val="00BF7BD2"/>
    <w:rsid w:val="00C14755"/>
    <w:rsid w:val="00CB1FC3"/>
    <w:rsid w:val="00CB46C1"/>
    <w:rsid w:val="00CE77F7"/>
    <w:rsid w:val="00D83ADC"/>
    <w:rsid w:val="00DA2A5D"/>
    <w:rsid w:val="00E2285D"/>
    <w:rsid w:val="00E41E2F"/>
    <w:rsid w:val="00F350E0"/>
    <w:rsid w:val="00FA0064"/>
    <w:rsid w:val="00FB53FA"/>
    <w:rsid w:val="020826AC"/>
    <w:rsid w:val="036303A2"/>
    <w:rsid w:val="05300E9B"/>
    <w:rsid w:val="084F74AA"/>
    <w:rsid w:val="0A527A89"/>
    <w:rsid w:val="0B426468"/>
    <w:rsid w:val="0C6F1240"/>
    <w:rsid w:val="0E3A54E8"/>
    <w:rsid w:val="112461CF"/>
    <w:rsid w:val="159F078C"/>
    <w:rsid w:val="176462D0"/>
    <w:rsid w:val="18973ABB"/>
    <w:rsid w:val="18FB0EA9"/>
    <w:rsid w:val="1A9B5E86"/>
    <w:rsid w:val="1D7208BD"/>
    <w:rsid w:val="24C70F69"/>
    <w:rsid w:val="250B1E26"/>
    <w:rsid w:val="25137E21"/>
    <w:rsid w:val="26912C1C"/>
    <w:rsid w:val="27A8172A"/>
    <w:rsid w:val="298507C6"/>
    <w:rsid w:val="2B2226F5"/>
    <w:rsid w:val="37597D2D"/>
    <w:rsid w:val="38B816DE"/>
    <w:rsid w:val="3C5A3EB8"/>
    <w:rsid w:val="3D37325E"/>
    <w:rsid w:val="3E5F72B3"/>
    <w:rsid w:val="406078CC"/>
    <w:rsid w:val="412E2655"/>
    <w:rsid w:val="49CB5D72"/>
    <w:rsid w:val="49DC5046"/>
    <w:rsid w:val="4A630034"/>
    <w:rsid w:val="4CB40BE6"/>
    <w:rsid w:val="4E50267E"/>
    <w:rsid w:val="4F59374B"/>
    <w:rsid w:val="53D74A85"/>
    <w:rsid w:val="5478427C"/>
    <w:rsid w:val="55041AB8"/>
    <w:rsid w:val="5BCF5B83"/>
    <w:rsid w:val="5E7535D4"/>
    <w:rsid w:val="62E63ABE"/>
    <w:rsid w:val="6857614A"/>
    <w:rsid w:val="6C857D33"/>
    <w:rsid w:val="6C86405F"/>
    <w:rsid w:val="72F53670"/>
    <w:rsid w:val="73A1619F"/>
    <w:rsid w:val="73A6416E"/>
    <w:rsid w:val="746F7452"/>
    <w:rsid w:val="7473579E"/>
    <w:rsid w:val="76D66058"/>
    <w:rsid w:val="79782905"/>
    <w:rsid w:val="7C0F6FCD"/>
    <w:rsid w:val="7EE1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19"/>
    <w:autoRedefine/>
    <w:qFormat/>
    <w:uiPriority w:val="0"/>
    <w:rPr>
      <w:b/>
      <w:bCs/>
    </w:rPr>
  </w:style>
  <w:style w:type="table" w:styleId="10">
    <w:name w:val="Table Grid"/>
    <w:basedOn w:val="9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autoRedefine/>
    <w:qFormat/>
    <w:uiPriority w:val="0"/>
  </w:style>
  <w:style w:type="character" w:styleId="13">
    <w:name w:val="Hyperlink"/>
    <w:basedOn w:val="11"/>
    <w:autoRedefine/>
    <w:qFormat/>
    <w:uiPriority w:val="0"/>
    <w:rPr>
      <w:color w:val="0000FF"/>
      <w:u w:val="single"/>
    </w:rPr>
  </w:style>
  <w:style w:type="character" w:styleId="14">
    <w:name w:val="annotation reference"/>
    <w:basedOn w:val="11"/>
    <w:autoRedefine/>
    <w:qFormat/>
    <w:uiPriority w:val="0"/>
    <w:rPr>
      <w:sz w:val="21"/>
      <w:szCs w:val="21"/>
    </w:rPr>
  </w:style>
  <w:style w:type="paragraph" w:styleId="15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6">
    <w:name w:val="列表段落1"/>
    <w:basedOn w:val="1"/>
    <w:autoRedefine/>
    <w:qFormat/>
    <w:uiPriority w:val="34"/>
    <w:pPr>
      <w:ind w:firstLine="420" w:firstLineChars="200"/>
    </w:pPr>
  </w:style>
  <w:style w:type="character" w:customStyle="1" w:styleId="17">
    <w:name w:val="批注框文本 字符"/>
    <w:basedOn w:val="11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8">
    <w:name w:val="批注文字 字符"/>
    <w:basedOn w:val="11"/>
    <w:link w:val="3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9">
    <w:name w:val="批注主题 字符"/>
    <w:basedOn w:val="18"/>
    <w:link w:val="8"/>
    <w:autoRedefine/>
    <w:qFormat/>
    <w:uiPriority w:val="0"/>
    <w:rPr>
      <w:rFonts w:ascii="Calibri" w:hAnsi="Calibri" w:eastAsia="宋体" w:cs="Times New Roman"/>
      <w:b/>
      <w:bCs/>
      <w:kern w:val="2"/>
      <w:sz w:val="21"/>
      <w:szCs w:val="22"/>
    </w:rPr>
  </w:style>
  <w:style w:type="character" w:customStyle="1" w:styleId="20">
    <w:name w:val="页脚 字符"/>
    <w:basedOn w:val="11"/>
    <w:link w:val="5"/>
    <w:autoRedefine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2751</Words>
  <Characters>2797</Characters>
  <Lines>19</Lines>
  <Paragraphs>5</Paragraphs>
  <TotalTime>68</TotalTime>
  <ScaleCrop>false</ScaleCrop>
  <LinksUpToDate>false</LinksUpToDate>
  <CharactersWithSpaces>2797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2021-12-06T10:10:00Z</dcterms:created>
  <dc:creator>程智宾</dc:creator>
  <cp:lastModifiedBy>木木</cp:lastModifiedBy>
  <cp:lastPrinted>2023-12-27T00:31:00Z</cp:lastPrinted>
  <dcterms:modified xsi:type="dcterms:W3CDTF">2024-03-04T09:18:38Z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09BDC44440A04AE9B43BCEA62585AEB3_13</vt:lpwstr>
  </property>
</Properties>
</file>