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DC647"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  <w:t>关于推荐202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  <w:t>年度二级督导员的工作通知</w:t>
      </w:r>
    </w:p>
    <w:p w14:paraId="1DFF3F1B">
      <w:pPr>
        <w:widowControl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各教学单位：</w:t>
      </w:r>
    </w:p>
    <w:p w14:paraId="0B9CBC0E">
      <w:pPr>
        <w:widowControl/>
        <w:ind w:firstLine="700" w:firstLineChars="25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根据《徐州工业职业技术学院教学督导员实施细则》（徐工职院发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〔2019〕2号</w:t>
      </w:r>
      <w:r>
        <w:rPr>
          <w:rFonts w:hint="eastAsia" w:ascii="仿宋" w:hAnsi="仿宋" w:eastAsia="仿宋" w:cs="仿宋"/>
          <w:sz w:val="28"/>
          <w:szCs w:val="28"/>
        </w:rPr>
        <w:t>），现启动202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年二级督导推荐聘任工作。请填写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二级</w:t>
      </w:r>
      <w:r>
        <w:rPr>
          <w:rFonts w:hint="eastAsia" w:ascii="仿宋" w:hAnsi="仿宋" w:eastAsia="仿宋" w:cs="仿宋"/>
          <w:kern w:val="0"/>
          <w:sz w:val="28"/>
          <w:szCs w:val="28"/>
        </w:rPr>
        <w:t>督导员推荐表</w:t>
      </w:r>
      <w:r>
        <w:rPr>
          <w:rFonts w:hint="eastAsia" w:ascii="仿宋" w:hAnsi="仿宋" w:eastAsia="仿宋" w:cs="仿宋"/>
          <w:sz w:val="28"/>
          <w:szCs w:val="28"/>
        </w:rPr>
        <w:t>（附件1）于20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10月28</w:t>
      </w:r>
      <w:r>
        <w:rPr>
          <w:rFonts w:hint="eastAsia" w:ascii="仿宋" w:hAnsi="仿宋" w:eastAsia="仿宋" w:cs="仿宋"/>
          <w:sz w:val="28"/>
          <w:szCs w:val="28"/>
        </w:rPr>
        <w:t>日17:00前</w:t>
      </w:r>
      <w:r>
        <w:rPr>
          <w:rFonts w:hint="eastAsia" w:ascii="仿宋" w:hAnsi="仿宋" w:eastAsia="仿宋" w:cs="仿宋"/>
          <w:kern w:val="0"/>
          <w:sz w:val="28"/>
          <w:szCs w:val="28"/>
        </w:rPr>
        <w:t>发电子稿到jwc@mail.xzcit.cn，纸质稿交至A01-4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曹</w:t>
      </w:r>
      <w:r>
        <w:rPr>
          <w:rFonts w:hint="eastAsia" w:ascii="仿宋" w:hAnsi="仿宋" w:eastAsia="仿宋" w:cs="仿宋"/>
          <w:kern w:val="0"/>
          <w:sz w:val="28"/>
          <w:szCs w:val="28"/>
        </w:rPr>
        <w:t>老师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62803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62026880"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附件1：徐州工业职业技术学院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</w:rPr>
        <w:t>年度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二级</w:t>
      </w:r>
      <w:r>
        <w:rPr>
          <w:rFonts w:hint="eastAsia" w:ascii="仿宋" w:hAnsi="仿宋" w:eastAsia="仿宋" w:cs="仿宋"/>
          <w:kern w:val="0"/>
          <w:sz w:val="28"/>
          <w:szCs w:val="28"/>
        </w:rPr>
        <w:t>督导员推荐表</w:t>
      </w:r>
    </w:p>
    <w:p w14:paraId="2614BFAA"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附件2：《徐州工业职业技术学院</w:t>
      </w:r>
      <w:r>
        <w:rPr>
          <w:rFonts w:hint="eastAsia" w:ascii="仿宋" w:hAnsi="仿宋" w:eastAsia="仿宋" w:cs="仿宋"/>
          <w:sz w:val="28"/>
          <w:szCs w:val="28"/>
        </w:rPr>
        <w:t>教学督导员实施细则</w:t>
      </w:r>
      <w:r>
        <w:rPr>
          <w:rFonts w:hint="eastAsia" w:ascii="仿宋" w:hAnsi="仿宋" w:eastAsia="仿宋" w:cs="仿宋"/>
          <w:kern w:val="0"/>
          <w:sz w:val="28"/>
          <w:szCs w:val="28"/>
        </w:rPr>
        <w:t>》部分摘编</w:t>
      </w:r>
    </w:p>
    <w:p w14:paraId="4ED2877B">
      <w:pPr>
        <w:widowControl/>
        <w:ind w:firstLine="700" w:firstLineChars="2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CE5AAE7">
      <w:pPr>
        <w:widowControl/>
        <w:ind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教务部</w:t>
      </w:r>
    </w:p>
    <w:p w14:paraId="6CCAC7A0">
      <w:pPr>
        <w:widowControl/>
        <w:ind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20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21E87C28">
      <w:pPr>
        <w:jc w:val="center"/>
        <w:rPr>
          <w:rFonts w:hint="eastAsia" w:ascii="宋体" w:hAnsi="宋体" w:cs="宋体"/>
          <w:kern w:val="0"/>
          <w:sz w:val="36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925241"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  <w:t>附件1：徐州工业职业技术学院202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  <w:t>年度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  <w:lang w:val="en-US" w:eastAsia="zh-CN"/>
        </w:rPr>
        <w:t>二级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  <w:t>督导员推荐表</w:t>
      </w:r>
    </w:p>
    <w:p w14:paraId="0382DF03"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2"/>
        <w:tblW w:w="50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241"/>
        <w:gridCol w:w="2219"/>
        <w:gridCol w:w="1577"/>
        <w:gridCol w:w="1184"/>
        <w:gridCol w:w="2011"/>
        <w:gridCol w:w="2014"/>
        <w:gridCol w:w="1814"/>
      </w:tblGrid>
      <w:tr w14:paraId="2C66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</w:trPr>
        <w:tc>
          <w:tcPr>
            <w:tcW w:w="418" w:type="pct"/>
            <w:vMerge w:val="restart"/>
            <w:noWrap w:val="0"/>
            <w:vAlign w:val="center"/>
          </w:tcPr>
          <w:p w14:paraId="2F3D80FA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  <w:t>序号</w:t>
            </w:r>
          </w:p>
        </w:tc>
        <w:tc>
          <w:tcPr>
            <w:tcW w:w="786" w:type="pct"/>
            <w:vMerge w:val="restart"/>
            <w:noWrap w:val="0"/>
            <w:vAlign w:val="center"/>
          </w:tcPr>
          <w:p w14:paraId="6435C865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  <w:t>学院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 w14:paraId="6143435A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  <w:t>教师姓名</w:t>
            </w:r>
          </w:p>
        </w:tc>
        <w:tc>
          <w:tcPr>
            <w:tcW w:w="553" w:type="pct"/>
            <w:vMerge w:val="restart"/>
            <w:noWrap w:val="0"/>
            <w:vAlign w:val="center"/>
          </w:tcPr>
          <w:p w14:paraId="5B600488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  <w:t>职称</w:t>
            </w:r>
          </w:p>
        </w:tc>
        <w:tc>
          <w:tcPr>
            <w:tcW w:w="415" w:type="pct"/>
            <w:vMerge w:val="restart"/>
            <w:noWrap w:val="0"/>
            <w:vAlign w:val="center"/>
          </w:tcPr>
          <w:p w14:paraId="65B51BDD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  <w:t>教龄</w:t>
            </w:r>
          </w:p>
        </w:tc>
        <w:tc>
          <w:tcPr>
            <w:tcW w:w="1411" w:type="pct"/>
            <w:gridSpan w:val="2"/>
            <w:noWrap w:val="0"/>
            <w:vAlign w:val="center"/>
          </w:tcPr>
          <w:p w14:paraId="7E7E5A03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  <w:t>教学质量考核结果</w:t>
            </w:r>
          </w:p>
        </w:tc>
        <w:tc>
          <w:tcPr>
            <w:tcW w:w="636" w:type="pct"/>
            <w:noWrap w:val="0"/>
            <w:vAlign w:val="center"/>
          </w:tcPr>
          <w:p w14:paraId="24DD8626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  <w:t>备注</w:t>
            </w:r>
          </w:p>
        </w:tc>
      </w:tr>
      <w:tr w14:paraId="7923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18" w:type="pct"/>
            <w:vMerge w:val="continue"/>
            <w:noWrap w:val="0"/>
            <w:vAlign w:val="center"/>
          </w:tcPr>
          <w:p w14:paraId="405CC5B9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6C201A5F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</w:p>
        </w:tc>
        <w:tc>
          <w:tcPr>
            <w:tcW w:w="778" w:type="pct"/>
            <w:vMerge w:val="continue"/>
            <w:noWrap w:val="0"/>
            <w:vAlign w:val="center"/>
          </w:tcPr>
          <w:p w14:paraId="588DFF09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</w:p>
        </w:tc>
        <w:tc>
          <w:tcPr>
            <w:tcW w:w="553" w:type="pct"/>
            <w:vMerge w:val="continue"/>
            <w:noWrap w:val="0"/>
            <w:vAlign w:val="center"/>
          </w:tcPr>
          <w:p w14:paraId="0BB4FB36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</w:p>
        </w:tc>
        <w:tc>
          <w:tcPr>
            <w:tcW w:w="415" w:type="pct"/>
            <w:vMerge w:val="continue"/>
            <w:noWrap w:val="0"/>
            <w:vAlign w:val="center"/>
          </w:tcPr>
          <w:p w14:paraId="4E2C178D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</w:p>
        </w:tc>
        <w:tc>
          <w:tcPr>
            <w:tcW w:w="705" w:type="pct"/>
            <w:noWrap w:val="0"/>
            <w:vAlign w:val="center"/>
          </w:tcPr>
          <w:p w14:paraId="1BD89908">
            <w:pPr>
              <w:widowControl/>
              <w:jc w:val="center"/>
              <w:rPr>
                <w:rFonts w:hint="default" w:ascii="方正公文小标宋" w:hAnsi="方正公文小标宋" w:eastAsia="方正公文小标宋" w:cs="方正公文小标宋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  <w:lang w:val="en-US" w:eastAsia="zh-CN"/>
              </w:rPr>
              <w:t>2023-2024-1</w:t>
            </w:r>
          </w:p>
        </w:tc>
        <w:tc>
          <w:tcPr>
            <w:tcW w:w="705" w:type="pct"/>
            <w:noWrap w:val="0"/>
            <w:vAlign w:val="center"/>
          </w:tcPr>
          <w:p w14:paraId="665F49BF">
            <w:pPr>
              <w:widowControl/>
              <w:ind w:firstLine="140" w:firstLineChars="50"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  <w:lang w:val="en-US" w:eastAsia="zh-CN"/>
              </w:rPr>
              <w:t>2023-2024-2</w:t>
            </w:r>
          </w:p>
        </w:tc>
        <w:tc>
          <w:tcPr>
            <w:tcW w:w="636" w:type="pct"/>
            <w:noWrap w:val="0"/>
            <w:vAlign w:val="center"/>
          </w:tcPr>
          <w:p w14:paraId="288BC765">
            <w:pPr>
              <w:widowControl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32"/>
              </w:rPr>
            </w:pPr>
          </w:p>
        </w:tc>
      </w:tr>
      <w:tr w14:paraId="3462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18" w:type="pct"/>
            <w:noWrap w:val="0"/>
            <w:vAlign w:val="center"/>
          </w:tcPr>
          <w:p w14:paraId="218A1A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86" w:type="pct"/>
            <w:noWrap w:val="0"/>
            <w:vAlign w:val="center"/>
          </w:tcPr>
          <w:p w14:paraId="4B44313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778" w:type="pct"/>
            <w:noWrap w:val="0"/>
            <w:vAlign w:val="center"/>
          </w:tcPr>
          <w:p w14:paraId="48F16BF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X</w:t>
            </w:r>
          </w:p>
        </w:tc>
        <w:tc>
          <w:tcPr>
            <w:tcW w:w="553" w:type="pct"/>
            <w:noWrap w:val="0"/>
            <w:vAlign w:val="center"/>
          </w:tcPr>
          <w:p w14:paraId="6E1524E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415" w:type="pct"/>
            <w:noWrap w:val="0"/>
            <w:vAlign w:val="center"/>
          </w:tcPr>
          <w:p w14:paraId="7121F084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705" w:type="pct"/>
            <w:noWrap w:val="0"/>
            <w:vAlign w:val="center"/>
          </w:tcPr>
          <w:p w14:paraId="7554A5E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705" w:type="pct"/>
            <w:noWrap w:val="0"/>
            <w:vAlign w:val="center"/>
          </w:tcPr>
          <w:p w14:paraId="5989ECE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636" w:type="pct"/>
            <w:noWrap w:val="0"/>
            <w:vAlign w:val="center"/>
          </w:tcPr>
          <w:p w14:paraId="3A274880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组长</w:t>
            </w:r>
          </w:p>
        </w:tc>
      </w:tr>
      <w:tr w14:paraId="1ECB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18" w:type="pct"/>
            <w:noWrap w:val="0"/>
            <w:vAlign w:val="center"/>
          </w:tcPr>
          <w:p w14:paraId="39C9EC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6" w:type="pct"/>
            <w:noWrap w:val="0"/>
            <w:vAlign w:val="center"/>
          </w:tcPr>
          <w:p w14:paraId="4BB5515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778" w:type="pct"/>
            <w:noWrap w:val="0"/>
            <w:vAlign w:val="center"/>
          </w:tcPr>
          <w:p w14:paraId="4D40E5A4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X</w:t>
            </w:r>
          </w:p>
        </w:tc>
        <w:tc>
          <w:tcPr>
            <w:tcW w:w="553" w:type="pct"/>
            <w:noWrap w:val="0"/>
            <w:vAlign w:val="center"/>
          </w:tcPr>
          <w:p w14:paraId="2F83FCC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415" w:type="pct"/>
            <w:noWrap w:val="0"/>
            <w:vAlign w:val="center"/>
          </w:tcPr>
          <w:p w14:paraId="2374A30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8</w:t>
            </w:r>
          </w:p>
        </w:tc>
        <w:tc>
          <w:tcPr>
            <w:tcW w:w="705" w:type="pct"/>
            <w:noWrap w:val="0"/>
            <w:vAlign w:val="center"/>
          </w:tcPr>
          <w:p w14:paraId="121747A5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705" w:type="pct"/>
            <w:noWrap w:val="0"/>
            <w:vAlign w:val="center"/>
          </w:tcPr>
          <w:p w14:paraId="446E2A03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636" w:type="pct"/>
            <w:noWrap w:val="0"/>
            <w:vAlign w:val="center"/>
          </w:tcPr>
          <w:p w14:paraId="5D678A2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</w:tbl>
    <w:p w14:paraId="34FFCFB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12D42886">
      <w:pPr>
        <w:rPr>
          <w:rFonts w:hint="eastAsia"/>
        </w:rPr>
      </w:pPr>
    </w:p>
    <w:p w14:paraId="2DD3930E">
      <w:pPr>
        <w:rPr>
          <w:rFonts w:hint="eastAsia"/>
        </w:rPr>
      </w:pPr>
    </w:p>
    <w:p w14:paraId="18723CE1">
      <w:pPr>
        <w:rPr>
          <w:rFonts w:hint="eastAsia"/>
        </w:rPr>
      </w:pPr>
    </w:p>
    <w:p w14:paraId="05DCB2ED">
      <w:pPr>
        <w:widowControl/>
        <w:wordWrap w:val="0"/>
        <w:ind w:firstLine="525" w:firstLineChars="25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学院领导签字：           </w:t>
      </w:r>
    </w:p>
    <w:p w14:paraId="1E3A64FC">
      <w:pPr>
        <w:widowControl/>
        <w:wordWrap/>
        <w:ind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 w14:paraId="2EEAAED5">
      <w:pPr>
        <w:widowControl/>
        <w:wordWrap/>
        <w:ind w:firstLine="700" w:firstLineChars="25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</w:p>
    <w:p w14:paraId="5F6BDCFE">
      <w:pPr>
        <w:widowControl/>
        <w:ind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（学院盖章）</w:t>
      </w:r>
    </w:p>
    <w:p w14:paraId="585A5474">
      <w:pPr>
        <w:widowControl/>
        <w:ind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2024年10月  日</w:t>
      </w:r>
      <w:bookmarkStart w:id="0" w:name="_GoBack"/>
      <w:bookmarkEnd w:id="0"/>
    </w:p>
    <w:p w14:paraId="15388F2F"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br w:type="page"/>
      </w:r>
    </w:p>
    <w:p w14:paraId="25B4AFBD">
      <w:pPr>
        <w:widowControl/>
        <w:ind w:firstLine="700" w:firstLineChars="25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9F58F06"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24"/>
        </w:rPr>
        <w:t>附件2：《教学督导员聘任实施细则》</w:t>
      </w:r>
    </w:p>
    <w:p w14:paraId="1AE99AB2">
      <w:pPr>
        <w:widowControl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（徐工职院发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〔2019〕2号</w:t>
      </w:r>
      <w:r>
        <w:rPr>
          <w:rFonts w:hint="eastAsia" w:ascii="仿宋" w:hAnsi="仿宋" w:eastAsia="仿宋" w:cs="仿宋"/>
          <w:kern w:val="0"/>
          <w:sz w:val="28"/>
          <w:szCs w:val="28"/>
        </w:rPr>
        <w:t>）部分内容</w:t>
      </w:r>
    </w:p>
    <w:p w14:paraId="2927ED8D">
      <w:pPr>
        <w:numPr>
          <w:ilvl w:val="0"/>
          <w:numId w:val="1"/>
        </w:numPr>
        <w:ind w:firstLine="562" w:firstLineChars="200"/>
        <w:jc w:val="left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教学督导员聘任</w:t>
      </w:r>
    </w:p>
    <w:p w14:paraId="34965B4D"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㈠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聘任条件</w:t>
      </w:r>
    </w:p>
    <w:p w14:paraId="1FB83466"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思想政治素质好，热爱教育事业，具有良好的师德修养，爱岗敬业，为人师表，作风正派、治学严谨、办事公道、责任心强，在师生员工中有较高的威信。</w:t>
      </w:r>
    </w:p>
    <w:p w14:paraId="3E56B03E"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具备丰富的教学及相关工作经验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能够胜任教学督导工作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具有先进的教育教学理念，熟悉高等职业教育教学的规律和现状，愿为学校深化教育教学改革、提高办学水平、指导青年教师、提高教学质量服务。</w:t>
      </w:r>
    </w:p>
    <w:p w14:paraId="023FD80D"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二级</w:t>
      </w:r>
      <w:r>
        <w:rPr>
          <w:rFonts w:hint="eastAsia" w:ascii="仿宋" w:hAnsi="仿宋" w:eastAsia="仿宋"/>
          <w:color w:val="000000"/>
          <w:sz w:val="28"/>
          <w:szCs w:val="28"/>
        </w:rPr>
        <w:t>督导员：在职副高级（含）以上职称，聘任前一学年（度）教学质量考核连续两学期良好（含）以上且至少一次教学质量考核优秀，或讲师职称，教龄五年（含）以上，教学质量考核连续两学期优秀的专任教师。</w:t>
      </w:r>
    </w:p>
    <w:p w14:paraId="51E07D59"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㈡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组织聘任</w:t>
      </w:r>
    </w:p>
    <w:p w14:paraId="36FC9808"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1.二级督导组（院（部）督导）主要由兼职督导员组成，设组长1名，成员总数原则上不超过2人。二级督导员不得同时兼任一级督导员。二级督导员可以在院（部）间交流互聘。</w:t>
      </w:r>
    </w:p>
    <w:p w14:paraId="078E6B87"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.二级督导员由个人申请或学院（部）推荐，各学院（部）聘任，报教务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/>
          <w:color w:val="000000"/>
          <w:sz w:val="28"/>
          <w:szCs w:val="28"/>
        </w:rPr>
        <w:t>备案。</w:t>
      </w:r>
    </w:p>
    <w:p w14:paraId="4B2D7AF8">
      <w:pPr>
        <w:ind w:firstLine="560" w:firstLineChars="200"/>
        <w:jc w:val="left"/>
        <w:rPr>
          <w:rFonts w:hint="eastAsia" w:ascii="宋体" w:hAnsi="宋体" w:cs="宋体"/>
          <w:kern w:val="0"/>
          <w:sz w:val="36"/>
          <w:szCs w:val="24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二级</w:t>
      </w:r>
      <w:r>
        <w:rPr>
          <w:rFonts w:hint="eastAsia" w:ascii="仿宋" w:hAnsi="仿宋" w:eastAsia="仿宋"/>
          <w:color w:val="000000"/>
          <w:sz w:val="28"/>
          <w:szCs w:val="28"/>
        </w:rPr>
        <w:t>督导员聘期一年，两年内原则上不连续聘任。聘任期间因其它各种原因，造成无法继续履行教学督导职责的，可由本人提出退出申请或由教务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/>
          <w:color w:val="000000"/>
          <w:sz w:val="28"/>
          <w:szCs w:val="28"/>
        </w:rPr>
        <w:t>提出解聘意见，报主管校长批准，可以解除聘任关系。每年根据空缺和人员变动等情况，适时开展补聘工作，确保督导员队伍编制完整。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3B6DA5E-AD39-424A-822C-E5F2BEA353E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A9B7DC-3C8A-43A6-B9E7-BDE2CF72E4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AD0BBE-22EE-4ACE-9AEA-F18544B34DA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2A381C3-8FC2-4FE1-B09E-BFD302A38B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A7CBD"/>
    <w:multiLevelType w:val="singleLevel"/>
    <w:tmpl w:val="59FA7CB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WE5NWJiMWU2NTZkODIyN2Y3M2MwMTg2ZDE3OTkifQ=="/>
  </w:docVars>
  <w:rsids>
    <w:rsidRoot w:val="73FF22A8"/>
    <w:rsid w:val="270D629D"/>
    <w:rsid w:val="35AC0B9E"/>
    <w:rsid w:val="3AF20084"/>
    <w:rsid w:val="54484523"/>
    <w:rsid w:val="73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917</Characters>
  <Lines>0</Lines>
  <Paragraphs>0</Paragraphs>
  <TotalTime>3</TotalTime>
  <ScaleCrop>false</ScaleCrop>
  <LinksUpToDate>false</LinksUpToDate>
  <CharactersWithSpaces>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2024-10-21T00:39:00Z</dcterms:created>
  <dc:creator>karry(●°u°●)​ 」</dc:creator>
  <cp:lastModifiedBy>karry(●°u°●)​ 」</cp:lastModifiedBy>
  <dcterms:modified xsi:type="dcterms:W3CDTF">2024-10-21T00:52:52Z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1E37062DEF9C471780823DB134385E17_11</vt:lpwstr>
  </property>
</Properties>
</file>