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widowControl/>
        <w:shd w:val="clear" w:color="auto" w:fill="FFFFFF"/>
        <w:spacing w:beforeAutospacing="0" w:afterAutospacing="0" w:line="375" w:lineRule="atLeast"/>
        <w:ind w:firstLine="643" w:firstLineChars="200"/>
        <w:jc w:val="both"/>
        <w:rPr>
          <w:rFonts w:ascii="新宋体" w:hAnsi="新宋体" w:eastAsia="新宋体" w:cs="新宋体"/>
          <w:b/>
          <w:bCs/>
          <w:color w:val="2B2B2B"/>
          <w:sz w:val="32"/>
          <w:szCs w:val="32"/>
          <w:shd w:val="clear" w:color="auto" w:fill="FFFFFF"/>
        </w:rPr>
      </w:pPr>
      <w:r>
        <w:rPr>
          <w:rFonts w:hint="eastAsia" w:ascii="新宋体" w:hAnsi="新宋体" w:eastAsia="新宋体" w:cs="新宋体"/>
          <w:b/>
          <w:bCs/>
          <w:color w:val="2B2B2B"/>
          <w:sz w:val="32"/>
          <w:szCs w:val="32"/>
          <w:shd w:val="clear" w:color="auto" w:fill="FFFFFF"/>
        </w:rPr>
        <w:t>关于2019-2020-2期末实验室安全检查的工作通知</w:t>
      </w:r>
    </w:p>
    <w:p>
      <w:pPr>
        <w:pStyle w:val="16"/>
        <w:widowControl/>
        <w:shd w:val="clear" w:color="auto" w:fill="FFFFFF"/>
        <w:spacing w:beforeAutospacing="0" w:afterAutospacing="0" w:line="375" w:lineRule="atLeast"/>
      </w:pPr>
      <w:r>
        <w:rPr>
          <w:rFonts w:ascii="新宋体" w:hAnsi="新宋体" w:eastAsia="新宋体" w:cs="新宋体"/>
          <w:color w:val="2B2B2B"/>
          <w:sz w:val="27"/>
          <w:szCs w:val="27"/>
          <w:shd w:val="clear" w:color="auto" w:fill="FFFFFF"/>
        </w:rPr>
        <w:t>各二级学院：</w:t>
      </w:r>
    </w:p>
    <w:p>
      <w:pPr>
        <w:pStyle w:val="16"/>
        <w:widowControl/>
        <w:shd w:val="clear" w:color="auto" w:fill="FFFFFF"/>
        <w:spacing w:beforeAutospacing="0" w:afterAutospacing="0" w:line="375" w:lineRule="atLeast"/>
        <w:ind w:firstLine="555"/>
        <w:jc w:val="both"/>
      </w:pPr>
      <w:r>
        <w:rPr>
          <w:rFonts w:hint="eastAsia" w:ascii="新宋体" w:hAnsi="新宋体" w:eastAsia="新宋体" w:cs="新宋体"/>
          <w:color w:val="2B2B2B"/>
          <w:sz w:val="27"/>
          <w:szCs w:val="27"/>
          <w:shd w:val="clear" w:color="auto" w:fill="FFFFFF"/>
        </w:rPr>
        <w:t>暑假即将来临，请各相关学院根据《省教育厅办公室关于开展20</w:t>
      </w:r>
      <w:r>
        <w:rPr>
          <w:rFonts w:ascii="新宋体" w:hAnsi="新宋体" w:eastAsia="新宋体" w:cs="新宋体"/>
          <w:color w:val="2B2B2B"/>
          <w:sz w:val="27"/>
          <w:szCs w:val="27"/>
          <w:shd w:val="clear" w:color="auto" w:fill="FFFFFF"/>
        </w:rPr>
        <w:t>20</w:t>
      </w:r>
      <w:r>
        <w:rPr>
          <w:rFonts w:hint="eastAsia" w:ascii="新宋体" w:hAnsi="新宋体" w:eastAsia="新宋体" w:cs="新宋体"/>
          <w:color w:val="2B2B2B"/>
          <w:sz w:val="27"/>
          <w:szCs w:val="27"/>
          <w:shd w:val="clear" w:color="auto" w:fill="FFFFFF"/>
        </w:rPr>
        <w:t>年度地方属高校科研实验室安全自查自纠工作的通知》（苏教办科函〔20</w:t>
      </w:r>
      <w:r>
        <w:rPr>
          <w:rFonts w:ascii="新宋体" w:hAnsi="新宋体" w:eastAsia="新宋体" w:cs="新宋体"/>
          <w:color w:val="2B2B2B"/>
          <w:sz w:val="27"/>
          <w:szCs w:val="27"/>
          <w:shd w:val="clear" w:color="auto" w:fill="FFFFFF"/>
        </w:rPr>
        <w:t>20</w:t>
      </w:r>
      <w:r>
        <w:rPr>
          <w:rFonts w:hint="eastAsia" w:ascii="新宋体" w:hAnsi="新宋体" w:eastAsia="新宋体" w:cs="新宋体"/>
          <w:color w:val="2B2B2B"/>
          <w:sz w:val="27"/>
          <w:szCs w:val="27"/>
          <w:shd w:val="clear" w:color="auto" w:fill="FFFFFF"/>
        </w:rPr>
        <w:t>〕1</w:t>
      </w:r>
      <w:r>
        <w:rPr>
          <w:rFonts w:ascii="新宋体" w:hAnsi="新宋体" w:eastAsia="新宋体" w:cs="新宋体"/>
          <w:color w:val="2B2B2B"/>
          <w:sz w:val="27"/>
          <w:szCs w:val="27"/>
          <w:shd w:val="clear" w:color="auto" w:fill="FFFFFF"/>
        </w:rPr>
        <w:t>4</w:t>
      </w:r>
      <w:r>
        <w:rPr>
          <w:rFonts w:hint="eastAsia" w:ascii="新宋体" w:hAnsi="新宋体" w:eastAsia="新宋体" w:cs="新宋体"/>
          <w:color w:val="2B2B2B"/>
          <w:sz w:val="27"/>
          <w:szCs w:val="27"/>
          <w:shd w:val="clear" w:color="auto" w:fill="FFFFFF"/>
        </w:rPr>
        <w:t>号）对实验室管理的要求，以及《徐州工业职业技术学院实验室安全管理规定》的要求，切实做好假期实验室安全工作，有效防范各类实验室安全事故发生。现将相关事宜通知如下：</w:t>
      </w:r>
    </w:p>
    <w:p>
      <w:pPr>
        <w:pStyle w:val="16"/>
        <w:widowControl/>
        <w:shd w:val="clear" w:color="auto" w:fill="FFFFFF"/>
        <w:spacing w:beforeAutospacing="0" w:afterAutospacing="0" w:line="375" w:lineRule="atLeast"/>
        <w:ind w:firstLine="540" w:firstLineChars="200"/>
        <w:jc w:val="both"/>
      </w:pPr>
      <w:r>
        <w:rPr>
          <w:rFonts w:hint="eastAsia" w:ascii="新宋体" w:hAnsi="新宋体" w:eastAsia="新宋体" w:cs="新宋体"/>
          <w:color w:val="2B2B2B"/>
          <w:sz w:val="27"/>
          <w:szCs w:val="27"/>
          <w:shd w:val="clear" w:color="auto" w:fill="FFFFFF"/>
        </w:rPr>
        <w:t>一、检查内容</w:t>
      </w:r>
    </w:p>
    <w:p>
      <w:pPr>
        <w:pStyle w:val="16"/>
        <w:widowControl/>
        <w:shd w:val="clear" w:color="auto" w:fill="FFFFFF"/>
        <w:spacing w:beforeAutospacing="0" w:afterAutospacing="0" w:line="375" w:lineRule="atLeast"/>
        <w:ind w:firstLine="555"/>
        <w:jc w:val="both"/>
      </w:pPr>
      <w:r>
        <w:rPr>
          <w:rFonts w:hint="eastAsia" w:ascii="新宋体" w:hAnsi="新宋体" w:eastAsia="新宋体" w:cs="新宋体"/>
          <w:color w:val="2B2B2B"/>
          <w:sz w:val="27"/>
          <w:szCs w:val="27"/>
          <w:shd w:val="clear" w:color="auto" w:fill="FFFFFF"/>
        </w:rPr>
        <w:t>实验室安全事项主要包括防火、防爆、防盗、防意外安全事故，以及水、电、气的安全使用等方面，具体检查包括制度建设及执行情况、安全责任体系、安全检查台账、卫生环境、消防安全、电气安全（用电线路和用电设备）、设备安全、化学药品安全等。</w:t>
      </w:r>
    </w:p>
    <w:p>
      <w:pPr>
        <w:pStyle w:val="16"/>
        <w:widowControl/>
        <w:shd w:val="clear" w:color="auto" w:fill="FFFFFF"/>
        <w:spacing w:beforeAutospacing="0" w:afterAutospacing="0" w:line="375" w:lineRule="atLeast"/>
        <w:ind w:firstLine="555"/>
        <w:jc w:val="both"/>
      </w:pPr>
      <w:r>
        <w:rPr>
          <w:rFonts w:hint="eastAsia" w:ascii="新宋体" w:hAnsi="新宋体" w:eastAsia="新宋体" w:cs="新宋体"/>
          <w:color w:val="2B2B2B"/>
          <w:sz w:val="27"/>
          <w:szCs w:val="27"/>
          <w:shd w:val="clear" w:color="auto" w:fill="FFFFFF"/>
        </w:rPr>
        <w:t>二、检查要求</w:t>
      </w:r>
    </w:p>
    <w:p>
      <w:pPr>
        <w:pStyle w:val="16"/>
        <w:widowControl/>
        <w:shd w:val="clear" w:color="auto" w:fill="FFFFFF"/>
        <w:spacing w:beforeAutospacing="0" w:afterAutospacing="0" w:line="375" w:lineRule="atLeast"/>
        <w:ind w:firstLine="555"/>
        <w:jc w:val="both"/>
        <w:rPr>
          <w:rFonts w:ascii="新宋体" w:hAnsi="新宋体" w:eastAsia="新宋体" w:cs="新宋体"/>
          <w:color w:val="2B2B2B"/>
          <w:sz w:val="27"/>
          <w:szCs w:val="27"/>
          <w:shd w:val="clear" w:color="auto" w:fill="FFFFFF"/>
        </w:rPr>
      </w:pPr>
      <w:r>
        <w:rPr>
          <w:rFonts w:hint="eastAsia" w:ascii="新宋体" w:hAnsi="新宋体" w:eastAsia="新宋体" w:cs="新宋体"/>
          <w:color w:val="2B2B2B"/>
          <w:sz w:val="27"/>
          <w:szCs w:val="27"/>
          <w:shd w:val="clear" w:color="auto" w:fill="FFFFFF"/>
        </w:rPr>
        <w:t>各学院要结合自身实际情况，认真开展实验室安全检查自查工作，做到全覆盖、不留死角。对“需整改”事项要提出具体的整改方案和措施。</w:t>
      </w:r>
    </w:p>
    <w:p>
      <w:pPr>
        <w:pStyle w:val="16"/>
        <w:widowControl/>
        <w:shd w:val="clear" w:color="auto" w:fill="FFFFFF"/>
        <w:spacing w:beforeAutospacing="0" w:afterAutospacing="0" w:line="375" w:lineRule="atLeast"/>
        <w:ind w:firstLine="555"/>
        <w:jc w:val="both"/>
        <w:rPr>
          <w:rFonts w:ascii="新宋体" w:hAnsi="新宋体" w:eastAsia="新宋体" w:cs="新宋体"/>
          <w:color w:val="2B2B2B"/>
          <w:sz w:val="27"/>
          <w:szCs w:val="27"/>
          <w:shd w:val="clear" w:color="auto" w:fill="FFFFFF"/>
        </w:rPr>
      </w:pPr>
      <w:r>
        <w:rPr>
          <w:rFonts w:hint="eastAsia" w:ascii="新宋体" w:hAnsi="新宋体" w:eastAsia="新宋体" w:cs="新宋体"/>
          <w:color w:val="2B2B2B"/>
          <w:sz w:val="27"/>
          <w:szCs w:val="27"/>
          <w:shd w:val="clear" w:color="auto" w:fill="FFFFFF"/>
        </w:rPr>
        <w:t>三、检查方式</w:t>
      </w:r>
    </w:p>
    <w:p>
      <w:pPr>
        <w:pStyle w:val="16"/>
        <w:widowControl/>
        <w:shd w:val="clear" w:color="auto" w:fill="FFFFFF"/>
        <w:spacing w:beforeAutospacing="0" w:afterAutospacing="0" w:line="375" w:lineRule="atLeast"/>
        <w:ind w:firstLine="555"/>
        <w:jc w:val="both"/>
        <w:rPr>
          <w:rFonts w:ascii="新宋体" w:hAnsi="新宋体" w:eastAsia="新宋体" w:cs="新宋体"/>
          <w:color w:val="2B2B2B"/>
          <w:sz w:val="27"/>
          <w:szCs w:val="27"/>
          <w:shd w:val="clear" w:color="auto" w:fill="FFFFFF"/>
        </w:rPr>
      </w:pPr>
      <w:r>
        <w:rPr>
          <w:rFonts w:hint="eastAsia" w:ascii="新宋体" w:hAnsi="新宋体" w:eastAsia="新宋体" w:cs="新宋体"/>
          <w:color w:val="2B2B2B"/>
          <w:sz w:val="27"/>
          <w:szCs w:val="27"/>
          <w:shd w:val="clear" w:color="auto" w:fill="FFFFFF"/>
        </w:rPr>
        <w:t>保卫处和教务处牵头，由教学副院长组成检查组，首先</w:t>
      </w:r>
      <w:r>
        <w:rPr>
          <w:rFonts w:hint="eastAsia" w:ascii="新宋体" w:hAnsi="新宋体" w:eastAsia="新宋体" w:cs="新宋体"/>
          <w:b/>
          <w:color w:val="auto"/>
          <w:sz w:val="27"/>
          <w:szCs w:val="27"/>
          <w:shd w:val="clear" w:color="auto" w:fill="FFFFFF"/>
        </w:rPr>
        <w:t>收交签字盖章的实验室安全自查表、实验室安全自查自纠报告、安全隐患自查自纠汇总表，</w:t>
      </w:r>
      <w:r>
        <w:rPr>
          <w:rFonts w:hint="eastAsia" w:ascii="新宋体" w:hAnsi="新宋体" w:eastAsia="新宋体" w:cs="新宋体"/>
          <w:color w:val="auto"/>
          <w:sz w:val="27"/>
          <w:szCs w:val="27"/>
          <w:shd w:val="clear" w:color="auto" w:fill="FFFFFF"/>
        </w:rPr>
        <w:t>查看相关记录，听取简要汇报。根据提供的名单，每个学院抽</w:t>
      </w:r>
      <w:r>
        <w:rPr>
          <w:rFonts w:hint="eastAsia" w:ascii="新宋体" w:hAnsi="新宋体" w:eastAsia="新宋体" w:cs="新宋体"/>
          <w:color w:val="2B2B2B"/>
          <w:sz w:val="27"/>
          <w:szCs w:val="27"/>
          <w:shd w:val="clear" w:color="auto" w:fill="FFFFFF"/>
        </w:rPr>
        <w:t>查</w:t>
      </w:r>
      <w:r>
        <w:rPr>
          <w:rFonts w:ascii="新宋体" w:hAnsi="新宋体" w:eastAsia="新宋体" w:cs="新宋体"/>
          <w:color w:val="2B2B2B"/>
          <w:sz w:val="27"/>
          <w:szCs w:val="27"/>
          <w:shd w:val="clear" w:color="auto" w:fill="FFFFFF"/>
        </w:rPr>
        <w:t>2</w:t>
      </w:r>
      <w:r>
        <w:rPr>
          <w:rFonts w:hint="eastAsia" w:ascii="新宋体" w:hAnsi="新宋体" w:eastAsia="新宋体" w:cs="新宋体"/>
          <w:color w:val="2B2B2B"/>
          <w:sz w:val="27"/>
          <w:szCs w:val="27"/>
          <w:shd w:val="clear" w:color="auto" w:fill="FFFFFF"/>
        </w:rPr>
        <w:t>间实验室。检查路线是建筑学院、汽车学院、材料学院、机电学院、化工学院、信电学院、工商学院。最后集中在工商学院机房，每个教学副院长提交最后的总评表，要求每人提交的总评成绩只能出现2个A、2个B和3个C。</w:t>
      </w:r>
    </w:p>
    <w:p>
      <w:pPr>
        <w:pStyle w:val="16"/>
        <w:widowControl/>
        <w:shd w:val="clear" w:color="auto" w:fill="FFFFFF"/>
        <w:spacing w:beforeAutospacing="0" w:afterAutospacing="0" w:line="375" w:lineRule="atLeast"/>
        <w:ind w:firstLine="555"/>
        <w:jc w:val="both"/>
        <w:rPr>
          <w:rFonts w:ascii="新宋体" w:hAnsi="新宋体" w:eastAsia="新宋体" w:cs="新宋体"/>
          <w:color w:val="2B2B2B"/>
          <w:sz w:val="27"/>
          <w:szCs w:val="27"/>
          <w:shd w:val="clear" w:color="auto" w:fill="FFFFFF"/>
        </w:rPr>
      </w:pPr>
      <w:r>
        <w:rPr>
          <w:rFonts w:hint="eastAsia" w:ascii="新宋体" w:hAnsi="新宋体" w:eastAsia="新宋体" w:cs="新宋体"/>
          <w:color w:val="2B2B2B"/>
          <w:sz w:val="27"/>
          <w:szCs w:val="27"/>
          <w:shd w:val="clear" w:color="auto" w:fill="FFFFFF"/>
        </w:rPr>
        <w:t>四、抽查内容</w:t>
      </w:r>
    </w:p>
    <w:p>
      <w:pPr>
        <w:pStyle w:val="16"/>
        <w:widowControl/>
        <w:shd w:val="clear" w:color="auto" w:fill="FFFFFF"/>
        <w:spacing w:beforeAutospacing="0" w:afterAutospacing="0" w:line="375" w:lineRule="atLeast"/>
        <w:ind w:firstLine="555"/>
        <w:jc w:val="both"/>
        <w:rPr>
          <w:rFonts w:ascii="新宋体" w:hAnsi="新宋体" w:eastAsia="新宋体" w:cs="新宋体"/>
          <w:color w:val="2B2B2B"/>
          <w:sz w:val="27"/>
          <w:szCs w:val="27"/>
          <w:shd w:val="clear" w:color="auto" w:fill="FFFFFF"/>
        </w:rPr>
      </w:pPr>
      <w:r>
        <w:rPr>
          <w:rFonts w:hint="eastAsia" w:ascii="新宋体" w:hAnsi="新宋体" w:eastAsia="新宋体" w:cs="新宋体"/>
          <w:color w:val="2B2B2B"/>
          <w:sz w:val="27"/>
          <w:szCs w:val="27"/>
          <w:shd w:val="clear" w:color="auto" w:fill="FFFFFF"/>
        </w:rPr>
        <w:t>抽查内容见《实验室安全检查表》</w:t>
      </w:r>
    </w:p>
    <w:p>
      <w:pPr>
        <w:pStyle w:val="16"/>
        <w:widowControl/>
        <w:shd w:val="clear" w:color="auto" w:fill="FFFFFF"/>
        <w:spacing w:beforeAutospacing="0" w:afterAutospacing="0" w:line="375" w:lineRule="atLeast"/>
        <w:ind w:left="555"/>
        <w:jc w:val="both"/>
        <w:rPr>
          <w:rFonts w:ascii="新宋体" w:hAnsi="新宋体" w:eastAsia="新宋体" w:cs="新宋体"/>
          <w:color w:val="2B2B2B"/>
          <w:sz w:val="27"/>
          <w:szCs w:val="27"/>
          <w:shd w:val="clear" w:color="auto" w:fill="FFFFFF"/>
        </w:rPr>
      </w:pPr>
      <w:r>
        <w:rPr>
          <w:rFonts w:hint="eastAsia" w:ascii="新宋体" w:hAnsi="新宋体" w:eastAsia="新宋体" w:cs="新宋体"/>
          <w:color w:val="2B2B2B"/>
          <w:sz w:val="27"/>
          <w:szCs w:val="27"/>
          <w:shd w:val="clear" w:color="auto" w:fill="FFFFFF"/>
        </w:rPr>
        <w:t>五、检查时间</w:t>
      </w:r>
    </w:p>
    <w:p>
      <w:pPr>
        <w:pStyle w:val="16"/>
        <w:widowControl/>
        <w:shd w:val="clear" w:color="auto" w:fill="FFFFFF"/>
        <w:spacing w:beforeAutospacing="0" w:afterAutospacing="0" w:line="375" w:lineRule="atLeast"/>
        <w:ind w:firstLine="555"/>
        <w:jc w:val="both"/>
        <w:rPr>
          <w:rFonts w:ascii="新宋体" w:hAnsi="新宋体" w:eastAsia="新宋体" w:cs="新宋体"/>
          <w:color w:val="2B2B2B"/>
          <w:sz w:val="27"/>
          <w:szCs w:val="27"/>
          <w:shd w:val="clear" w:color="auto" w:fill="FFFFFF"/>
        </w:rPr>
      </w:pPr>
      <w:r>
        <w:rPr>
          <w:rFonts w:hint="eastAsia" w:ascii="新宋体" w:hAnsi="新宋体" w:eastAsia="新宋体" w:cs="新宋体"/>
          <w:color w:val="2B2B2B"/>
          <w:sz w:val="27"/>
          <w:szCs w:val="27"/>
          <w:shd w:val="clear" w:color="auto" w:fill="FFFFFF"/>
        </w:rPr>
        <w:t>2020年7月</w:t>
      </w:r>
      <w:r>
        <w:rPr>
          <w:rFonts w:ascii="新宋体" w:hAnsi="新宋体" w:eastAsia="新宋体" w:cs="新宋体"/>
          <w:color w:val="2B2B2B"/>
          <w:sz w:val="27"/>
          <w:szCs w:val="27"/>
          <w:shd w:val="clear" w:color="auto" w:fill="FFFFFF"/>
        </w:rPr>
        <w:t>13</w:t>
      </w:r>
      <w:r>
        <w:rPr>
          <w:rFonts w:hint="eastAsia" w:ascii="新宋体" w:hAnsi="新宋体" w:eastAsia="新宋体" w:cs="新宋体"/>
          <w:color w:val="2B2B2B"/>
          <w:sz w:val="27"/>
          <w:szCs w:val="27"/>
          <w:shd w:val="clear" w:color="auto" w:fill="FFFFFF"/>
        </w:rPr>
        <w:t>日星期一上午9:00，在建筑学院楼下集合，依次按路线进行。假期期间，教育厅将组织专家现场抽检，请各学院高度重视，具体时间另行通知。</w:t>
      </w:r>
    </w:p>
    <w:p>
      <w:pPr>
        <w:pStyle w:val="16"/>
        <w:widowControl/>
        <w:shd w:val="clear" w:color="auto" w:fill="FFFFFF"/>
        <w:spacing w:beforeAutospacing="0" w:afterAutospacing="0" w:line="375" w:lineRule="atLeast"/>
        <w:ind w:firstLine="555"/>
        <w:jc w:val="both"/>
      </w:pPr>
      <w:r>
        <w:rPr>
          <w:rFonts w:hint="eastAsia" w:ascii="新宋体" w:hAnsi="新宋体" w:eastAsia="新宋体" w:cs="新宋体"/>
          <w:color w:val="2B2B2B"/>
          <w:sz w:val="27"/>
          <w:szCs w:val="27"/>
          <w:shd w:val="clear" w:color="auto" w:fill="FFFFFF"/>
        </w:rPr>
        <w:t>六、假期实验室安全工作</w:t>
      </w:r>
    </w:p>
    <w:p>
      <w:pPr>
        <w:pStyle w:val="16"/>
        <w:widowControl/>
        <w:shd w:val="clear" w:color="auto" w:fill="FFFFFF"/>
        <w:spacing w:beforeAutospacing="0" w:afterAutospacing="0" w:line="375" w:lineRule="atLeast"/>
        <w:ind w:firstLine="555"/>
        <w:jc w:val="both"/>
        <w:rPr>
          <w:rFonts w:ascii="新宋体" w:hAnsi="新宋体" w:eastAsia="新宋体" w:cs="新宋体"/>
          <w:color w:val="2B2B2B"/>
          <w:sz w:val="27"/>
          <w:szCs w:val="27"/>
          <w:shd w:val="clear" w:color="auto" w:fill="FFFFFF"/>
        </w:rPr>
      </w:pPr>
      <w:r>
        <w:rPr>
          <w:rFonts w:hint="eastAsia" w:ascii="新宋体" w:hAnsi="新宋体" w:eastAsia="新宋体" w:cs="新宋体"/>
          <w:color w:val="2B2B2B"/>
          <w:sz w:val="27"/>
          <w:szCs w:val="27"/>
          <w:shd w:val="clear" w:color="auto" w:fill="FFFFFF"/>
        </w:rPr>
        <w:t>假期需要开放的实验室，其安全责任由学院和相关实验室责任人负责，务必做到人清电断。对不开放的实验室，请各学院负责检查、切断总电源、假期前贴好封条。</w:t>
      </w:r>
    </w:p>
    <w:p>
      <w:pPr>
        <w:pStyle w:val="16"/>
        <w:widowControl/>
        <w:shd w:val="clear" w:color="auto" w:fill="FFFFFF"/>
        <w:spacing w:beforeAutospacing="0" w:afterAutospacing="0" w:line="375" w:lineRule="atLeast"/>
        <w:ind w:firstLine="555"/>
        <w:jc w:val="both"/>
        <w:rPr>
          <w:rFonts w:ascii="新宋体" w:hAnsi="新宋体" w:eastAsia="新宋体" w:cs="新宋体"/>
          <w:color w:val="2B2B2B"/>
          <w:sz w:val="27"/>
          <w:szCs w:val="27"/>
          <w:shd w:val="clear" w:color="auto" w:fill="FFFFFF"/>
        </w:rPr>
      </w:pPr>
      <w:r>
        <w:rPr>
          <w:rFonts w:hint="eastAsia" w:ascii="新宋体" w:hAnsi="新宋体" w:eastAsia="新宋体" w:cs="新宋体"/>
          <w:color w:val="2B2B2B"/>
          <w:sz w:val="27"/>
          <w:szCs w:val="27"/>
          <w:shd w:val="clear" w:color="auto" w:fill="FFFFFF"/>
        </w:rPr>
        <w:t>七、联系人李老师（6</w:t>
      </w:r>
      <w:r>
        <w:rPr>
          <w:rFonts w:ascii="新宋体" w:hAnsi="新宋体" w:eastAsia="新宋体" w:cs="新宋体"/>
          <w:color w:val="2B2B2B"/>
          <w:sz w:val="27"/>
          <w:szCs w:val="27"/>
          <w:shd w:val="clear" w:color="auto" w:fill="FFFFFF"/>
        </w:rPr>
        <w:t>6799</w:t>
      </w:r>
      <w:r>
        <w:rPr>
          <w:rFonts w:hint="eastAsia" w:ascii="新宋体" w:hAnsi="新宋体" w:eastAsia="新宋体" w:cs="新宋体"/>
          <w:color w:val="2B2B2B"/>
          <w:sz w:val="27"/>
          <w:szCs w:val="27"/>
          <w:shd w:val="clear" w:color="auto" w:fill="FFFFFF"/>
        </w:rPr>
        <w:t>）</w:t>
      </w:r>
      <w:bookmarkStart w:id="0" w:name="_GoBack"/>
      <w:bookmarkEnd w:id="0"/>
    </w:p>
    <w:p>
      <w:pPr>
        <w:pStyle w:val="16"/>
        <w:widowControl/>
        <w:shd w:val="clear" w:color="auto" w:fill="FFFFFF"/>
        <w:spacing w:beforeAutospacing="0" w:afterAutospacing="0" w:line="375" w:lineRule="atLeast"/>
        <w:ind w:firstLine="555"/>
        <w:rPr>
          <w:rFonts w:ascii="新宋体" w:hAnsi="新宋体" w:eastAsia="新宋体" w:cs="新宋体"/>
          <w:color w:val="2B2B2B"/>
          <w:sz w:val="27"/>
          <w:szCs w:val="27"/>
          <w:shd w:val="clear" w:color="auto" w:fill="FFFFFF"/>
        </w:rPr>
      </w:pPr>
      <w:r>
        <w:rPr>
          <w:rFonts w:hint="eastAsia" w:ascii="新宋体" w:hAnsi="新宋体" w:eastAsia="新宋体" w:cs="新宋体"/>
          <w:color w:val="2B2B2B"/>
          <w:sz w:val="27"/>
          <w:szCs w:val="27"/>
          <w:shd w:val="clear" w:color="auto" w:fill="FFFFFF"/>
        </w:rPr>
        <w:t xml:space="preserve">                                 教务处 </w:t>
      </w:r>
      <w:r>
        <w:rPr>
          <w:rFonts w:ascii="新宋体" w:hAnsi="新宋体" w:eastAsia="新宋体" w:cs="新宋体"/>
          <w:color w:val="2B2B2B"/>
          <w:sz w:val="27"/>
          <w:szCs w:val="27"/>
          <w:shd w:val="clear" w:color="auto" w:fill="FFFFFF"/>
        </w:rPr>
        <w:t xml:space="preserve">   </w:t>
      </w:r>
      <w:r>
        <w:rPr>
          <w:rFonts w:hint="eastAsia" w:ascii="新宋体" w:hAnsi="新宋体" w:eastAsia="新宋体" w:cs="新宋体"/>
          <w:color w:val="2B2B2B"/>
          <w:sz w:val="27"/>
          <w:szCs w:val="27"/>
          <w:shd w:val="clear" w:color="auto" w:fill="FFFFFF"/>
        </w:rPr>
        <w:t>保卫处</w:t>
      </w:r>
    </w:p>
    <w:p>
      <w:pPr>
        <w:pStyle w:val="16"/>
        <w:widowControl/>
        <w:shd w:val="clear" w:color="auto" w:fill="FFFFFF"/>
        <w:spacing w:beforeAutospacing="0" w:afterAutospacing="0" w:line="375" w:lineRule="atLeast"/>
        <w:ind w:firstLine="555"/>
        <w:rPr>
          <w:rFonts w:ascii="新宋体" w:hAnsi="新宋体" w:eastAsia="新宋体" w:cs="新宋体"/>
          <w:color w:val="2B2B2B"/>
          <w:sz w:val="27"/>
          <w:szCs w:val="27"/>
          <w:shd w:val="clear" w:color="auto" w:fill="FFFFFF"/>
        </w:rPr>
      </w:pPr>
      <w:r>
        <w:rPr>
          <w:rFonts w:hint="eastAsia" w:ascii="新宋体" w:hAnsi="新宋体" w:eastAsia="新宋体" w:cs="新宋体"/>
          <w:color w:val="2B2B2B"/>
          <w:sz w:val="27"/>
          <w:szCs w:val="27"/>
          <w:shd w:val="clear" w:color="auto" w:fill="FFFFFF"/>
        </w:rPr>
        <w:t xml:space="preserve">                               </w:t>
      </w:r>
      <w:r>
        <w:rPr>
          <w:rFonts w:ascii="新宋体" w:hAnsi="新宋体" w:eastAsia="新宋体" w:cs="新宋体"/>
          <w:color w:val="2B2B2B"/>
          <w:sz w:val="27"/>
          <w:szCs w:val="27"/>
          <w:shd w:val="clear" w:color="auto" w:fill="FFFFFF"/>
        </w:rPr>
        <w:t xml:space="preserve">    </w:t>
      </w:r>
      <w:r>
        <w:rPr>
          <w:rFonts w:hint="eastAsia" w:ascii="新宋体" w:hAnsi="新宋体" w:eastAsia="新宋体" w:cs="新宋体"/>
          <w:color w:val="2B2B2B"/>
          <w:sz w:val="27"/>
          <w:szCs w:val="27"/>
          <w:shd w:val="clear" w:color="auto" w:fill="FFFFFF"/>
        </w:rPr>
        <w:t xml:space="preserve"> 2020-7-</w:t>
      </w:r>
      <w:r>
        <w:rPr>
          <w:rFonts w:ascii="新宋体" w:hAnsi="新宋体" w:eastAsia="新宋体" w:cs="新宋体"/>
          <w:color w:val="2B2B2B"/>
          <w:sz w:val="27"/>
          <w:szCs w:val="27"/>
          <w:shd w:val="clear" w:color="auto" w:fill="FFFFFF"/>
        </w:rPr>
        <w:t>10</w:t>
      </w:r>
    </w:p>
    <w:p>
      <w:pPr>
        <w:pStyle w:val="16"/>
        <w:widowControl/>
        <w:shd w:val="clear" w:color="auto" w:fill="FFFFFF"/>
        <w:spacing w:beforeAutospacing="0" w:afterAutospacing="0" w:line="375" w:lineRule="atLeast"/>
        <w:ind w:firstLine="555"/>
        <w:rPr>
          <w:rFonts w:ascii="新宋体" w:hAnsi="新宋体" w:eastAsia="新宋体" w:cs="新宋体"/>
          <w:color w:val="2B2B2B"/>
          <w:sz w:val="27"/>
          <w:szCs w:val="27"/>
          <w:shd w:val="clear" w:color="auto" w:fill="FFFFFF"/>
        </w:rPr>
      </w:pPr>
      <w:r>
        <w:rPr>
          <w:rFonts w:ascii="新宋体" w:hAnsi="新宋体" w:eastAsia="新宋体" w:cs="新宋体"/>
          <w:color w:val="2B2B2B"/>
          <w:sz w:val="27"/>
          <w:szCs w:val="27"/>
          <w:shd w:val="clear" w:color="auto" w:fill="FFFFFF"/>
        </w:rPr>
        <w:t>附件</w:t>
      </w:r>
      <w:r>
        <w:rPr>
          <w:rFonts w:hint="eastAsia" w:ascii="新宋体" w:hAnsi="新宋体" w:eastAsia="新宋体" w:cs="新宋体"/>
          <w:color w:val="2B2B2B"/>
          <w:sz w:val="27"/>
          <w:szCs w:val="27"/>
          <w:shd w:val="clear" w:color="auto" w:fill="FFFFFF"/>
        </w:rPr>
        <w:t>1：实验室安全自查表</w:t>
      </w:r>
    </w:p>
    <w:p>
      <w:pPr>
        <w:pStyle w:val="16"/>
        <w:widowControl/>
        <w:shd w:val="clear" w:color="auto" w:fill="FFFFFF"/>
        <w:spacing w:beforeAutospacing="0" w:afterAutospacing="0" w:line="375" w:lineRule="atLeast"/>
        <w:ind w:firstLine="555"/>
        <w:rPr>
          <w:rFonts w:ascii="新宋体" w:hAnsi="新宋体" w:eastAsia="新宋体" w:cs="新宋体"/>
          <w:color w:val="2B2B2B"/>
          <w:sz w:val="27"/>
          <w:szCs w:val="27"/>
          <w:shd w:val="clear" w:color="auto" w:fill="FFFFFF"/>
        </w:rPr>
      </w:pPr>
      <w:r>
        <w:rPr>
          <w:rFonts w:ascii="新宋体" w:hAnsi="新宋体" w:eastAsia="新宋体" w:cs="新宋体"/>
          <w:color w:val="2B2B2B"/>
          <w:sz w:val="27"/>
          <w:szCs w:val="27"/>
          <w:shd w:val="clear" w:color="auto" w:fill="FFFFFF"/>
        </w:rPr>
        <w:t>附件</w:t>
      </w:r>
      <w:r>
        <w:rPr>
          <w:rFonts w:hint="eastAsia" w:ascii="新宋体" w:hAnsi="新宋体" w:eastAsia="新宋体" w:cs="新宋体"/>
          <w:color w:val="2B2B2B"/>
          <w:sz w:val="27"/>
          <w:szCs w:val="27"/>
          <w:shd w:val="clear" w:color="auto" w:fill="FFFFFF"/>
        </w:rPr>
        <w:t>2：实验室安全自查自纠报告</w:t>
      </w:r>
    </w:p>
    <w:p>
      <w:pPr>
        <w:pStyle w:val="16"/>
        <w:widowControl/>
        <w:shd w:val="clear" w:color="auto" w:fill="FFFFFF"/>
        <w:spacing w:beforeAutospacing="0" w:afterAutospacing="0" w:line="375" w:lineRule="atLeast"/>
        <w:ind w:firstLine="555"/>
        <w:rPr>
          <w:rFonts w:ascii="新宋体" w:hAnsi="新宋体" w:eastAsia="新宋体" w:cs="新宋体"/>
          <w:color w:val="2B2B2B"/>
          <w:sz w:val="27"/>
          <w:szCs w:val="27"/>
          <w:shd w:val="clear" w:color="auto" w:fill="FFFFFF"/>
        </w:rPr>
      </w:pPr>
      <w:r>
        <w:rPr>
          <w:rFonts w:ascii="新宋体" w:hAnsi="新宋体" w:eastAsia="新宋体" w:cs="新宋体"/>
          <w:color w:val="2B2B2B"/>
          <w:sz w:val="27"/>
          <w:szCs w:val="27"/>
          <w:shd w:val="clear" w:color="auto" w:fill="FFFFFF"/>
        </w:rPr>
        <w:t>附件</w:t>
      </w:r>
      <w:r>
        <w:rPr>
          <w:rFonts w:hint="eastAsia" w:ascii="新宋体" w:hAnsi="新宋体" w:eastAsia="新宋体" w:cs="新宋体"/>
          <w:color w:val="2B2B2B"/>
          <w:sz w:val="27"/>
          <w:szCs w:val="27"/>
          <w:shd w:val="clear" w:color="auto" w:fill="FFFFFF"/>
        </w:rPr>
        <w:t>3：安全隐患自查自纠汇总表</w:t>
      </w:r>
    </w:p>
    <w:p>
      <w:pPr>
        <w:pStyle w:val="16"/>
        <w:widowControl/>
        <w:shd w:val="clear" w:color="auto" w:fill="FFFFFF"/>
        <w:spacing w:beforeAutospacing="0" w:afterAutospacing="0" w:line="375" w:lineRule="atLeast"/>
        <w:ind w:firstLine="555"/>
        <w:rPr>
          <w:rFonts w:ascii="新宋体" w:hAnsi="新宋体" w:eastAsia="新宋体" w:cs="新宋体"/>
          <w:color w:val="2B2B2B"/>
          <w:sz w:val="27"/>
          <w:szCs w:val="27"/>
          <w:shd w:val="clear" w:color="auto" w:fill="FFFFFF"/>
        </w:rPr>
      </w:pPr>
      <w:r>
        <w:rPr>
          <w:rFonts w:ascii="新宋体" w:hAnsi="新宋体" w:eastAsia="新宋体" w:cs="新宋体"/>
          <w:color w:val="2B2B2B"/>
          <w:sz w:val="27"/>
          <w:szCs w:val="27"/>
          <w:shd w:val="clear" w:color="auto" w:fill="FFFFFF"/>
        </w:rPr>
        <w:t>附件</w:t>
      </w:r>
      <w:r>
        <w:rPr>
          <w:rFonts w:hint="eastAsia" w:ascii="新宋体" w:hAnsi="新宋体" w:eastAsia="新宋体" w:cs="新宋体"/>
          <w:color w:val="2B2B2B"/>
          <w:sz w:val="27"/>
          <w:szCs w:val="27"/>
          <w:shd w:val="clear" w:color="auto" w:fill="FFFFFF"/>
        </w:rPr>
        <w:t>4：安全检查评分表</w:t>
      </w:r>
    </w:p>
    <w:p>
      <w:pPr>
        <w:widowControl/>
        <w:jc w:val="left"/>
        <w:rPr>
          <w:rFonts w:ascii="新宋体" w:hAnsi="新宋体" w:eastAsia="新宋体" w:cs="新宋体"/>
          <w:color w:val="2B2B2B"/>
          <w:kern w:val="0"/>
          <w:sz w:val="27"/>
          <w:szCs w:val="27"/>
          <w:shd w:val="clear" w:color="auto" w:fill="FFFFFF"/>
        </w:rPr>
      </w:pPr>
      <w:r>
        <w:rPr>
          <w:rFonts w:ascii="新宋体" w:hAnsi="新宋体" w:eastAsia="新宋体" w:cs="新宋体"/>
          <w:color w:val="2B2B2B"/>
          <w:sz w:val="27"/>
          <w:szCs w:val="27"/>
          <w:shd w:val="clear" w:color="auto" w:fill="FFFFFF"/>
        </w:rPr>
        <w:br w:type="page"/>
      </w:r>
    </w:p>
    <w:p>
      <w:pPr>
        <w:pStyle w:val="16"/>
        <w:widowControl/>
        <w:shd w:val="clear" w:color="auto" w:fill="FFFFFF"/>
        <w:spacing w:beforeAutospacing="0" w:afterAutospacing="0" w:line="375" w:lineRule="atLeast"/>
        <w:rPr>
          <w:rFonts w:ascii="新宋体" w:hAnsi="新宋体" w:eastAsia="新宋体" w:cs="新宋体"/>
          <w:color w:val="2B2B2B"/>
          <w:sz w:val="27"/>
          <w:szCs w:val="27"/>
          <w:shd w:val="clear" w:color="auto" w:fill="FFFFFF"/>
        </w:rPr>
        <w:sectPr>
          <w:pgSz w:w="11906" w:h="16838"/>
          <w:pgMar w:top="1440" w:right="1800" w:bottom="1440" w:left="1800" w:header="851" w:footer="992" w:gutter="0"/>
          <w:cols w:space="425" w:num="1"/>
          <w:docGrid w:type="lines" w:linePitch="312" w:charSpace="0"/>
        </w:sectPr>
      </w:pPr>
    </w:p>
    <w:p>
      <w:pPr>
        <w:adjustRightInd w:val="0"/>
        <w:snapToGrid w:val="0"/>
        <w:spacing w:after="217" w:afterLines="50" w:line="500" w:lineRule="exact"/>
        <w:rPr>
          <w:rFonts w:eastAsia="方正小标宋简体"/>
          <w:sz w:val="36"/>
          <w:szCs w:val="30"/>
        </w:rPr>
      </w:pPr>
      <w:r>
        <w:rPr>
          <w:rFonts w:hint="eastAsia" w:ascii="黑体" w:hAnsi="黑体" w:eastAsia="黑体"/>
          <w:sz w:val="32"/>
          <w:szCs w:val="30"/>
        </w:rPr>
        <w:t>附件1</w:t>
      </w:r>
      <w:r>
        <w:rPr>
          <w:rFonts w:ascii="黑体" w:hAnsi="黑体" w:eastAsia="黑体"/>
          <w:sz w:val="40"/>
          <w:szCs w:val="30"/>
        </w:rPr>
        <w:t xml:space="preserve"> </w:t>
      </w:r>
      <w:r>
        <w:rPr>
          <w:rFonts w:eastAsia="方正小标宋简体"/>
          <w:sz w:val="36"/>
          <w:szCs w:val="30"/>
        </w:rPr>
        <w:t xml:space="preserve">             </w:t>
      </w:r>
    </w:p>
    <w:p>
      <w:pPr>
        <w:adjustRightInd w:val="0"/>
        <w:snapToGrid w:val="0"/>
        <w:spacing w:after="217" w:afterLines="50" w:line="500" w:lineRule="exact"/>
        <w:jc w:val="center"/>
        <w:rPr>
          <w:rFonts w:eastAsia="方正小标宋简体"/>
          <w:sz w:val="36"/>
          <w:szCs w:val="30"/>
        </w:rPr>
      </w:pPr>
      <w:r>
        <w:rPr>
          <w:rFonts w:hint="eastAsia" w:eastAsia="方正小标宋简体"/>
          <w:b/>
          <w:sz w:val="36"/>
          <w:szCs w:val="30"/>
        </w:rPr>
        <w:t>XX</w:t>
      </w:r>
      <w:r>
        <w:rPr>
          <w:rFonts w:eastAsia="方正小标宋简体"/>
          <w:b/>
          <w:sz w:val="36"/>
          <w:szCs w:val="30"/>
        </w:rPr>
        <w:t>学院实验室安全</w:t>
      </w:r>
      <w:r>
        <w:rPr>
          <w:rFonts w:hint="eastAsia" w:eastAsia="方正小标宋简体"/>
          <w:b/>
          <w:sz w:val="36"/>
          <w:szCs w:val="30"/>
        </w:rPr>
        <w:t>自</w:t>
      </w:r>
      <w:r>
        <w:rPr>
          <w:rFonts w:eastAsia="方正小标宋简体"/>
          <w:b/>
          <w:sz w:val="36"/>
          <w:szCs w:val="30"/>
        </w:rPr>
        <w:t>查</w:t>
      </w:r>
      <w:r>
        <w:rPr>
          <w:rFonts w:hint="eastAsia" w:eastAsia="方正小标宋简体"/>
          <w:b/>
          <w:sz w:val="36"/>
          <w:szCs w:val="30"/>
        </w:rPr>
        <w:t>表</w:t>
      </w:r>
      <w:r>
        <w:rPr>
          <w:rFonts w:eastAsia="方正小标宋简体"/>
          <w:b/>
          <w:sz w:val="36"/>
          <w:szCs w:val="30"/>
        </w:rPr>
        <w:t>（20</w:t>
      </w:r>
      <w:r>
        <w:rPr>
          <w:rFonts w:hint="eastAsia" w:eastAsia="方正小标宋简体"/>
          <w:b/>
          <w:sz w:val="36"/>
          <w:szCs w:val="30"/>
        </w:rPr>
        <w:t>20</w:t>
      </w:r>
      <w:r>
        <w:rPr>
          <w:rFonts w:eastAsia="方正小标宋简体"/>
          <w:b/>
          <w:sz w:val="36"/>
          <w:szCs w:val="30"/>
        </w:rPr>
        <w:t>）</w:t>
      </w: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374"/>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848" w:type="dxa"/>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检查</w:t>
            </w:r>
            <w:r>
              <w:rPr>
                <w:rFonts w:hint="eastAsia" w:eastAsia="黑体"/>
                <w:b/>
                <w:bCs/>
                <w:kern w:val="0"/>
                <w:szCs w:val="21"/>
              </w:rPr>
              <w:t>项目</w:t>
            </w:r>
          </w:p>
        </w:tc>
        <w:tc>
          <w:tcPr>
            <w:tcW w:w="7374" w:type="dxa"/>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检查要点</w:t>
            </w:r>
          </w:p>
        </w:tc>
        <w:tc>
          <w:tcPr>
            <w:tcW w:w="2829" w:type="dxa"/>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pPr>
              <w:widowControl/>
              <w:spacing w:line="300" w:lineRule="exact"/>
              <w:rPr>
                <w:b/>
                <w:kern w:val="0"/>
                <w:szCs w:val="21"/>
              </w:rPr>
            </w:pPr>
            <w:r>
              <w:rPr>
                <w:rFonts w:hint="eastAsia"/>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pPr>
              <w:widowControl/>
              <w:spacing w:line="300" w:lineRule="exact"/>
              <w:rPr>
                <w:b/>
                <w:kern w:val="0"/>
                <w:szCs w:val="21"/>
              </w:rPr>
            </w:pPr>
            <w:r>
              <w:rPr>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1.1.1</w:t>
            </w:r>
          </w:p>
        </w:tc>
        <w:tc>
          <w:tcPr>
            <w:tcW w:w="3820" w:type="dxa"/>
            <w:tcMar>
              <w:left w:w="45" w:type="dxa"/>
              <w:right w:w="45" w:type="dxa"/>
            </w:tcMar>
            <w:vAlign w:val="center"/>
          </w:tcPr>
          <w:p>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，明确人员和分工</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1.1.2</w:t>
            </w:r>
          </w:p>
        </w:tc>
        <w:tc>
          <w:tcPr>
            <w:tcW w:w="3820" w:type="dxa"/>
            <w:tcMar>
              <w:left w:w="45" w:type="dxa"/>
              <w:right w:w="45" w:type="dxa"/>
            </w:tcMar>
            <w:vAlign w:val="center"/>
          </w:tcPr>
          <w:p>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有处级实验室安全主管职能部门，其他相关职能部门分工合作；</w:t>
            </w:r>
            <w:r>
              <w:rPr>
                <w:rFonts w:hint="eastAsia"/>
                <w:bCs/>
                <w:kern w:val="0"/>
                <w:szCs w:val="21"/>
              </w:rPr>
              <w:t>建议</w:t>
            </w:r>
            <w:r>
              <w:rPr>
                <w:kern w:val="0"/>
                <w:szCs w:val="21"/>
              </w:rPr>
              <w:t>3万学生规模以上且仪器设备总值超过3亿元</w:t>
            </w:r>
            <w:r>
              <w:rPr>
                <w:rFonts w:hint="eastAsia"/>
                <w:kern w:val="0"/>
                <w:szCs w:val="21"/>
              </w:rPr>
              <w:t>的</w:t>
            </w:r>
            <w:r>
              <w:rPr>
                <w:kern w:val="0"/>
                <w:szCs w:val="21"/>
              </w:rPr>
              <w:t>学校</w:t>
            </w:r>
            <w:r>
              <w:rPr>
                <w:rFonts w:hint="eastAsia"/>
                <w:kern w:val="0"/>
                <w:szCs w:val="21"/>
              </w:rPr>
              <w:t>设立</w:t>
            </w:r>
            <w:r>
              <w:rPr>
                <w:kern w:val="0"/>
                <w:szCs w:val="21"/>
              </w:rPr>
              <w:t>实验室安全管理科室</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有在</w:t>
            </w:r>
            <w:r>
              <w:rPr>
                <w:kern w:val="0"/>
                <w:szCs w:val="21"/>
              </w:rPr>
              <w:t>任期内</w:t>
            </w:r>
            <w:r>
              <w:rPr>
                <w:rFonts w:hint="eastAsia"/>
                <w:kern w:val="0"/>
                <w:szCs w:val="21"/>
              </w:rPr>
              <w:t>的</w:t>
            </w:r>
            <w:r>
              <w:rPr>
                <w:bCs/>
                <w:kern w:val="0"/>
                <w:szCs w:val="21"/>
              </w:rPr>
              <w:t>校领导签</w:t>
            </w:r>
            <w:r>
              <w:rPr>
                <w:rFonts w:hint="eastAsia"/>
                <w:bCs/>
                <w:kern w:val="0"/>
                <w:szCs w:val="21"/>
              </w:rPr>
              <w:t>字</w:t>
            </w:r>
            <w:r>
              <w:rPr>
                <w:bCs/>
                <w:kern w:val="0"/>
                <w:szCs w:val="21"/>
              </w:rPr>
              <w:t>，</w:t>
            </w:r>
            <w:r>
              <w:rPr>
                <w:rFonts w:hint="eastAsia"/>
                <w:bCs/>
                <w:kern w:val="0"/>
                <w:szCs w:val="21"/>
              </w:rPr>
              <w:t>院系</w:t>
            </w:r>
            <w:r>
              <w:rPr>
                <w:bCs/>
                <w:kern w:val="0"/>
                <w:szCs w:val="21"/>
              </w:rPr>
              <w:t>单位有主</w:t>
            </w:r>
            <w:r>
              <w:rPr>
                <w:rFonts w:hint="eastAsia"/>
                <w:bCs/>
                <w:kern w:val="0"/>
                <w:szCs w:val="21"/>
              </w:rPr>
              <w:t>管</w:t>
            </w:r>
            <w:r>
              <w:rPr>
                <w:bCs/>
                <w:kern w:val="0"/>
                <w:szCs w:val="21"/>
              </w:rPr>
              <w:t>领导签</w:t>
            </w:r>
            <w:r>
              <w:rPr>
                <w:rFonts w:hint="eastAsia"/>
                <w:bCs/>
                <w:kern w:val="0"/>
                <w:szCs w:val="21"/>
              </w:rPr>
              <w:t>字</w:t>
            </w:r>
            <w:r>
              <w:rPr>
                <w:bCs/>
                <w:kern w:val="0"/>
                <w:szCs w:val="21"/>
              </w:rPr>
              <w:t>及盖</w:t>
            </w:r>
            <w:r>
              <w:rPr>
                <w:kern w:val="0"/>
                <w:szCs w:val="21"/>
              </w:rPr>
              <w:t>章</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pPr>
              <w:widowControl/>
              <w:spacing w:line="300" w:lineRule="exact"/>
              <w:rPr>
                <w:b/>
                <w:kern w:val="0"/>
                <w:szCs w:val="21"/>
              </w:rPr>
            </w:pPr>
            <w:r>
              <w:rPr>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1.2.3</w:t>
            </w:r>
          </w:p>
        </w:tc>
        <w:tc>
          <w:tcPr>
            <w:tcW w:w="3820" w:type="dxa"/>
            <w:tcMar>
              <w:left w:w="45" w:type="dxa"/>
              <w:right w:w="45" w:type="dxa"/>
            </w:tcMar>
            <w:vAlign w:val="center"/>
          </w:tcPr>
          <w:p>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有</w:t>
            </w:r>
            <w:r>
              <w:rPr>
                <w:kern w:val="0"/>
                <w:szCs w:val="21"/>
              </w:rPr>
              <w:t>实验室安全管理责任书</w:t>
            </w:r>
          </w:p>
        </w:tc>
        <w:tc>
          <w:tcPr>
            <w:tcW w:w="7374" w:type="dxa"/>
            <w:tcMar>
              <w:left w:w="45" w:type="dxa"/>
              <w:right w:w="45" w:type="dxa"/>
            </w:tcMar>
            <w:vAlign w:val="center"/>
          </w:tcPr>
          <w:p>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pPr>
              <w:widowControl/>
              <w:spacing w:line="300" w:lineRule="exact"/>
              <w:rPr>
                <w:b/>
                <w:bCs/>
                <w:kern w:val="0"/>
                <w:szCs w:val="21"/>
              </w:rPr>
            </w:pPr>
            <w:r>
              <w:rPr>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1.3.1</w:t>
            </w:r>
          </w:p>
        </w:tc>
        <w:tc>
          <w:tcPr>
            <w:tcW w:w="3820" w:type="dxa"/>
            <w:tcMar>
              <w:left w:w="45" w:type="dxa"/>
              <w:right w:w="45" w:type="dxa"/>
            </w:tcMar>
            <w:vAlign w:val="center"/>
          </w:tcPr>
          <w:p>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查预算</w:t>
            </w:r>
            <w:r>
              <w:rPr>
                <w:bCs/>
                <w:kern w:val="0"/>
                <w:szCs w:val="21"/>
              </w:rPr>
              <w:t>审批</w:t>
            </w:r>
            <w:r>
              <w:rPr>
                <w:rFonts w:hint="eastAsia"/>
                <w:bCs/>
                <w:kern w:val="0"/>
                <w:szCs w:val="21"/>
              </w:rPr>
              <w:t>凭据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pPr>
              <w:widowControl/>
              <w:spacing w:line="300" w:lineRule="exact"/>
              <w:rPr>
                <w:b/>
                <w:bCs/>
                <w:kern w:val="0"/>
                <w:szCs w:val="21"/>
              </w:rPr>
            </w:pPr>
            <w:r>
              <w:rPr>
                <w:rFonts w:hint="eastAsia"/>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.4.1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pPr>
              <w:widowControl/>
              <w:spacing w:line="300" w:lineRule="exact"/>
              <w:jc w:val="left"/>
              <w:rPr>
                <w:bCs/>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；推进专业安全队伍建设，保障队伍稳定和可持续发展</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1.4.2</w:t>
            </w:r>
          </w:p>
        </w:tc>
        <w:tc>
          <w:tcPr>
            <w:tcW w:w="3820" w:type="dxa"/>
            <w:tcMar>
              <w:left w:w="45" w:type="dxa"/>
              <w:right w:w="45" w:type="dxa"/>
            </w:tcMar>
            <w:vAlign w:val="center"/>
          </w:tcPr>
          <w:p>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）或学生组成的实验室安全督查/协查队伍</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各级主管实验室安全的负责人和</w:t>
            </w:r>
            <w:r>
              <w:rPr>
                <w:kern w:val="0"/>
                <w:szCs w:val="21"/>
              </w:rPr>
              <w:t>管理人员</w:t>
            </w:r>
            <w:r>
              <w:rPr>
                <w:rFonts w:hint="eastAsia"/>
                <w:kern w:val="0"/>
                <w:szCs w:val="21"/>
              </w:rPr>
              <w:t>到岗一年内须接受实验室安全管理培训</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有培训证书</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和监控预警系统</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8" w:type="dxa"/>
            <w:tcMar>
              <w:left w:w="45" w:type="dxa"/>
              <w:right w:w="45" w:type="dxa"/>
            </w:tcMar>
            <w:vAlign w:val="center"/>
          </w:tcPr>
          <w:p>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pPr>
              <w:spacing w:line="300" w:lineRule="exact"/>
              <w:rPr>
                <w:bCs/>
                <w:kern w:val="0"/>
                <w:szCs w:val="21"/>
              </w:rPr>
            </w:pPr>
            <w:r>
              <w:rPr>
                <w:rFonts w:hint="eastAsia"/>
                <w:bCs/>
                <w:kern w:val="0"/>
                <w:szCs w:val="21"/>
              </w:rPr>
              <w:t>建有校级实验室安全管理总则，建有安全风险评估制度、危险源全周期管理制度、实验室安全应急制度、奖惩与问责追责制度和安全培训制度等管理细则；制度文件有学校正式发文号；文件应及时修订更新；文件应具有可操作性或实际管理效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有校级实验室安全管理细则</w:t>
            </w:r>
          </w:p>
        </w:tc>
        <w:tc>
          <w:tcPr>
            <w:tcW w:w="7374" w:type="dxa"/>
            <w:vMerge w:val="continue"/>
            <w:tcMar>
              <w:left w:w="45" w:type="dxa"/>
              <w:right w:w="45" w:type="dxa"/>
            </w:tcMar>
            <w:vAlign w:val="center"/>
          </w:tcPr>
          <w:p>
            <w:pPr>
              <w:spacing w:line="300" w:lineRule="exact"/>
              <w:rPr>
                <w:bCs/>
                <w:kern w:val="0"/>
                <w:szCs w:val="21"/>
              </w:rPr>
            </w:pP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pPr>
              <w:spacing w:line="300" w:lineRule="exact"/>
              <w:rPr>
                <w:bCs/>
                <w:kern w:val="0"/>
                <w:szCs w:val="21"/>
              </w:rPr>
            </w:pPr>
            <w:r>
              <w:rPr>
                <w:rFonts w:hint="eastAsia"/>
                <w:bCs/>
                <w:kern w:val="0"/>
                <w:szCs w:val="21"/>
              </w:rPr>
              <w:t>建</w:t>
            </w:r>
            <w:r>
              <w:rPr>
                <w:bCs/>
                <w:kern w:val="0"/>
                <w:szCs w:val="21"/>
              </w:rPr>
              <w:t>有学科特色的实验室安全管理制度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安全教育</w:t>
            </w:r>
            <w:r>
              <w:rPr>
                <w:b/>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3.1.1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对于化学、生物、辐射等高风险的相关院系和专业，要开设有学分的安全教育必修课；鼓励其他专业开设安全选修课</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3.1.2</w:t>
            </w:r>
          </w:p>
        </w:tc>
        <w:tc>
          <w:tcPr>
            <w:tcW w:w="3820" w:type="dxa"/>
            <w:tcMar>
              <w:left w:w="45" w:type="dxa"/>
              <w:right w:w="45" w:type="dxa"/>
            </w:tcMar>
            <w:vAlign w:val="center"/>
          </w:tcPr>
          <w:p>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pPr>
              <w:widowControl/>
              <w:spacing w:line="300" w:lineRule="exact"/>
              <w:rPr>
                <w:bCs/>
                <w:kern w:val="0"/>
                <w:szCs w:val="21"/>
              </w:rPr>
            </w:pPr>
            <w:r>
              <w:rPr>
                <w:rFonts w:hint="eastAsia"/>
                <w:bCs/>
                <w:kern w:val="0"/>
                <w:szCs w:val="21"/>
              </w:rPr>
              <w:t>查看近三年存档记录，包含培训时间、内容、人数、通知、会场照片等；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3.1.3</w:t>
            </w:r>
          </w:p>
        </w:tc>
        <w:tc>
          <w:tcPr>
            <w:tcW w:w="3820" w:type="dxa"/>
            <w:tcMar>
              <w:left w:w="45" w:type="dxa"/>
              <w:right w:w="45" w:type="dxa"/>
            </w:tcMar>
            <w:vAlign w:val="center"/>
          </w:tcPr>
          <w:p>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w:t>
            </w:r>
            <w:r>
              <w:rPr>
                <w:kern w:val="0"/>
                <w:szCs w:val="21"/>
              </w:rPr>
              <w:t>新教工、本科生和研究生新生</w:t>
            </w:r>
            <w:r>
              <w:rPr>
                <w:rFonts w:hint="eastAsia"/>
                <w:kern w:val="0"/>
                <w:szCs w:val="21"/>
              </w:rPr>
              <w:t>均需参加考试，通过者发放合格证书</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将实验室安全手册</w:t>
            </w:r>
            <w:r>
              <w:rPr>
                <w:kern w:val="0"/>
                <w:szCs w:val="21"/>
              </w:rPr>
              <w:t>发放到每一位师生</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通过微信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安全评估、安全知识竞赛、微电影等</w:t>
            </w:r>
            <w:r>
              <w:rPr>
                <w:rFonts w:hint="eastAsia"/>
                <w:kern w:val="0"/>
                <w:szCs w:val="21"/>
              </w:rPr>
              <w:t>方式，加强安全宣传</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清单内容需包括单位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涉及危化品、病原微生物、放射性同位素、强磁等高危场所，有显著明确的警示标识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r>
              <w:rPr>
                <w:bCs/>
                <w:kern w:val="0"/>
                <w:szCs w:val="21"/>
              </w:rPr>
              <w:t>检查</w:t>
            </w:r>
            <w:r>
              <w:rPr>
                <w:rFonts w:hint="eastAsia"/>
                <w:bCs/>
                <w:kern w:val="0"/>
                <w:szCs w:val="21"/>
              </w:rPr>
              <w:t>院系</w:t>
            </w:r>
            <w:r>
              <w:rPr>
                <w:bCs/>
                <w:kern w:val="0"/>
                <w:szCs w:val="21"/>
              </w:rPr>
              <w:t>文件</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pPr>
              <w:spacing w:line="300" w:lineRule="exact"/>
              <w:jc w:val="left"/>
              <w:rPr>
                <w:kern w:val="0"/>
                <w:szCs w:val="21"/>
              </w:rPr>
            </w:pPr>
            <w:r>
              <w:rPr>
                <w:rFonts w:hint="eastAsia"/>
                <w:bCs/>
                <w:kern w:val="0"/>
                <w:szCs w:val="21"/>
              </w:rPr>
              <w:t>学校层面开展定期/不定期检查</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每年不少于4次，并记录存档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pPr>
              <w:spacing w:line="300" w:lineRule="exact"/>
              <w:jc w:val="left"/>
              <w:rPr>
                <w:bCs/>
                <w:kern w:val="0"/>
                <w:szCs w:val="21"/>
              </w:rPr>
            </w:pPr>
            <w:r>
              <w:rPr>
                <w:rFonts w:hint="eastAsia"/>
                <w:kern w:val="0"/>
                <w:szCs w:val="21"/>
              </w:rPr>
              <w:t>每月不少于1次，并记录存档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pPr>
              <w:spacing w:line="300" w:lineRule="exact"/>
              <w:jc w:val="left"/>
              <w:rPr>
                <w:bCs/>
                <w:kern w:val="0"/>
                <w:szCs w:val="21"/>
              </w:rPr>
            </w:pPr>
            <w:r>
              <w:rPr>
                <w:rFonts w:hint="eastAsia"/>
                <w:kern w:val="0"/>
                <w:szCs w:val="21"/>
              </w:rPr>
              <w:t>针对剧毒品、</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房间须建立值日台账</w:t>
            </w:r>
          </w:p>
        </w:tc>
        <w:tc>
          <w:tcPr>
            <w:tcW w:w="7374" w:type="dxa"/>
            <w:tcMar>
              <w:left w:w="45" w:type="dxa"/>
              <w:right w:w="45" w:type="dxa"/>
            </w:tcMar>
            <w:vAlign w:val="center"/>
          </w:tcPr>
          <w:p>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检查水电气门窗等，并签字</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.2.5</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tcMar>
              <w:left w:w="45" w:type="dxa"/>
              <w:right w:w="45" w:type="dxa"/>
            </w:tcMar>
            <w:vAlign w:val="center"/>
          </w:tcPr>
          <w:p>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4.3</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应以书面形式通知到相关负责人</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通知的方式包括校网上公告、实验室安全简报、整改通知书等形式。其中整改通知书要包含问题描述、整改要求和期限、职能部门盖章等，并由被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查看相关资料</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查看相应存档内容</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w:t>
            </w:r>
            <w:r>
              <w:rPr>
                <w:rFonts w:hint="eastAsia"/>
                <w:b/>
                <w:kern w:val="0"/>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szCs w:val="21"/>
              </w:rPr>
            </w:pPr>
            <w:r>
              <w:rPr>
                <w:rFonts w:hint="eastAsia" w:eastAsia="等线"/>
                <w:szCs w:val="21"/>
              </w:rPr>
              <w:t>5</w:t>
            </w:r>
            <w:r>
              <w:rPr>
                <w:rFonts w:eastAsia="等线"/>
                <w:szCs w:val="21"/>
              </w:rPr>
              <w:t>.1.1</w:t>
            </w:r>
          </w:p>
        </w:tc>
        <w:tc>
          <w:tcPr>
            <w:tcW w:w="3820" w:type="dxa"/>
            <w:tcMar>
              <w:left w:w="45" w:type="dxa"/>
              <w:right w:w="45" w:type="dxa"/>
            </w:tcMar>
            <w:vAlign w:val="center"/>
          </w:tcPr>
          <w:p>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平方米以上实验室要有两个出入口；实验楼大走廊保证留有大于2米净宽的消防通道；实验室</w:t>
            </w:r>
            <w:r>
              <w:rPr>
                <w:szCs w:val="21"/>
              </w:rPr>
              <w:t>操作区层高不低于</w:t>
            </w:r>
            <w:r>
              <w:rPr>
                <w:rFonts w:hint="eastAsia"/>
                <w:szCs w:val="21"/>
              </w:rPr>
              <w:t>2米；理工农医类实验室人均面积不小于2.5平方米</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5.1.3</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5.1.4</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等线"/>
                <w:szCs w:val="21"/>
              </w:rPr>
            </w:pPr>
            <w:r>
              <w:rPr>
                <w:rFonts w:eastAsia="等线"/>
                <w:szCs w:val="21"/>
              </w:rPr>
              <w:t>5.1.</w:t>
            </w:r>
            <w:r>
              <w:rPr>
                <w:rFonts w:hint="eastAsia" w:eastAsia="等线"/>
                <w:szCs w:val="21"/>
              </w:rPr>
              <w:t>5</w:t>
            </w:r>
          </w:p>
        </w:tc>
        <w:tc>
          <w:tcPr>
            <w:tcW w:w="3820" w:type="dxa"/>
            <w:tcMar>
              <w:left w:w="45" w:type="dxa"/>
              <w:right w:w="45" w:type="dxa"/>
            </w:tcMar>
            <w:vAlign w:val="center"/>
          </w:tcPr>
          <w:p>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pPr>
              <w:widowControl/>
              <w:spacing w:line="300" w:lineRule="exact"/>
              <w:jc w:val="left"/>
              <w:rPr>
                <w:bCs/>
                <w:szCs w:val="21"/>
              </w:rPr>
            </w:pPr>
            <w:r>
              <w:rPr>
                <w:rFonts w:hint="eastAsia"/>
                <w:szCs w:val="21"/>
              </w:rPr>
              <w:t>应急备用钥匙需集中存放、专人管理，应急时方便取用</w:t>
            </w:r>
          </w:p>
        </w:tc>
        <w:tc>
          <w:tcPr>
            <w:tcW w:w="2829" w:type="dxa"/>
            <w:tcMar>
              <w:left w:w="45" w:type="dxa"/>
              <w:right w:w="45" w:type="dxa"/>
            </w:tcMar>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5.1.6</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；易对外产生磁场或易受磁场干扰的设备，需做好磁屏蔽；实验室噪声一般不高于55分贝（机械设备不高于70分贝）</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pPr>
              <w:spacing w:line="300" w:lineRule="exact"/>
              <w:jc w:val="left"/>
              <w:rPr>
                <w:bCs/>
                <w:szCs w:val="21"/>
              </w:rPr>
            </w:pPr>
            <w:r>
              <w:rPr>
                <w:rFonts w:hint="eastAsia"/>
                <w:szCs w:val="21"/>
              </w:rPr>
              <w:t>采用管道供气的实验室，输气管道及阀门无破损现象，并有明确标识</w:t>
            </w:r>
            <w:r>
              <w:rPr>
                <w:rFonts w:hint="eastAsia"/>
                <w:bCs/>
                <w:szCs w:val="21"/>
              </w:rPr>
              <w:t>；供气管道有标识，无破损；</w:t>
            </w:r>
            <w:r>
              <w:rPr>
                <w:rFonts w:hint="eastAsia"/>
                <w:szCs w:val="21"/>
              </w:rPr>
              <w:t>高温、明火设备放置位置与气体管道有安全间隔距离</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卫生与</w:t>
            </w:r>
            <w:r>
              <w:rPr>
                <w:rFonts w:hint="eastAsia"/>
                <w:b/>
                <w:kern w:val="0"/>
                <w:szCs w:val="21"/>
              </w:rPr>
              <w:t>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kern w:val="0"/>
                <w:szCs w:val="21"/>
              </w:rPr>
            </w:pPr>
            <w:r>
              <w:rPr>
                <w:rFonts w:eastAsia="等线"/>
                <w:szCs w:val="21"/>
              </w:rPr>
              <w:t>5.</w:t>
            </w:r>
            <w:r>
              <w:rPr>
                <w:rFonts w:hint="eastAsia" w:eastAsia="等线"/>
                <w:szCs w:val="21"/>
              </w:rPr>
              <w:t>2</w:t>
            </w:r>
            <w:r>
              <w:rPr>
                <w:rFonts w:eastAsia="等线"/>
                <w:szCs w:val="21"/>
              </w:rPr>
              <w:t>.1</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pPr>
              <w:spacing w:line="300" w:lineRule="exact"/>
              <w:jc w:val="left"/>
              <w:rPr>
                <w:bCs/>
                <w:szCs w:val="21"/>
              </w:rPr>
            </w:pPr>
            <w:r>
              <w:rPr>
                <w:rFonts w:hint="eastAsia"/>
                <w:szCs w:val="21"/>
              </w:rPr>
              <w:t>有毒有害实验区与学习区明确分开，合理布局，</w:t>
            </w:r>
            <w:r>
              <w:rPr>
                <w:rFonts w:hint="eastAsia"/>
                <w:bCs/>
                <w:szCs w:val="21"/>
              </w:rPr>
              <w:t>重点关注化学</w:t>
            </w:r>
            <w:r>
              <w:rPr>
                <w:bCs/>
                <w:szCs w:val="21"/>
              </w:rPr>
              <w:t>、生物类实验室</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eastAsia="等线"/>
                <w:szCs w:val="21"/>
              </w:rPr>
              <w:t>5.</w:t>
            </w:r>
            <w:r>
              <w:rPr>
                <w:rFonts w:hint="eastAsia" w:eastAsia="等线"/>
                <w:szCs w:val="21"/>
              </w:rPr>
              <w:t>2</w:t>
            </w:r>
            <w:r>
              <w:rPr>
                <w:rFonts w:eastAsia="等线"/>
                <w:szCs w:val="21"/>
              </w:rPr>
              <w:t>.2</w:t>
            </w:r>
          </w:p>
        </w:tc>
        <w:tc>
          <w:tcPr>
            <w:tcW w:w="3820" w:type="dxa"/>
            <w:tcMar>
              <w:left w:w="45" w:type="dxa"/>
              <w:right w:w="45" w:type="dxa"/>
            </w:tcMar>
            <w:vAlign w:val="center"/>
          </w:tcPr>
          <w:p>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不在实验室睡觉过夜，不存放和烧煮食物、饮食，不准吸烟、不使用可燃性蚊香</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eastAsia="等线"/>
                <w:szCs w:val="21"/>
              </w:rPr>
              <w:t>5.</w:t>
            </w:r>
            <w:r>
              <w:rPr>
                <w:rFonts w:hint="eastAsia" w:eastAsia="等线"/>
                <w:szCs w:val="21"/>
              </w:rPr>
              <w:t>2</w:t>
            </w:r>
            <w:r>
              <w:rPr>
                <w:rFonts w:eastAsia="等线"/>
                <w:szCs w:val="21"/>
              </w:rPr>
              <w:t>.3</w:t>
            </w:r>
          </w:p>
        </w:tc>
        <w:tc>
          <w:tcPr>
            <w:tcW w:w="3820" w:type="dxa"/>
            <w:tcMar>
              <w:left w:w="45" w:type="dxa"/>
              <w:right w:w="45" w:type="dxa"/>
            </w:tcMar>
            <w:vAlign w:val="center"/>
          </w:tcPr>
          <w:p>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场所其它安全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kern w:val="0"/>
                <w:szCs w:val="21"/>
              </w:rPr>
            </w:pPr>
            <w:r>
              <w:rPr>
                <w:rFonts w:eastAsia="等线"/>
                <w:szCs w:val="21"/>
              </w:rPr>
              <w:t>5</w:t>
            </w:r>
            <w:r>
              <w:rPr>
                <w:rFonts w:hint="eastAsia" w:eastAsia="等线"/>
                <w:szCs w:val="21"/>
              </w:rPr>
              <w:t>.3</w:t>
            </w:r>
            <w:r>
              <w:rPr>
                <w:rFonts w:eastAsia="等线"/>
                <w:szCs w:val="21"/>
              </w:rPr>
              <w:t>.1</w:t>
            </w:r>
          </w:p>
        </w:tc>
        <w:tc>
          <w:tcPr>
            <w:tcW w:w="3820" w:type="dxa"/>
            <w:tcMar>
              <w:left w:w="45" w:type="dxa"/>
              <w:right w:w="45" w:type="dxa"/>
            </w:tcMar>
            <w:vAlign w:val="center"/>
          </w:tcPr>
          <w:p>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jc w:val="left"/>
              <w:rPr>
                <w:rFonts w:eastAsia="等线"/>
                <w:szCs w:val="21"/>
              </w:rPr>
            </w:pPr>
            <w:r>
              <w:rPr>
                <w:rFonts w:eastAsia="等线"/>
                <w:szCs w:val="21"/>
              </w:rPr>
              <w:t>5.</w:t>
            </w:r>
            <w:r>
              <w:rPr>
                <w:rFonts w:hint="eastAsia" w:eastAsia="等线"/>
                <w:szCs w:val="21"/>
              </w:rPr>
              <w:t>3</w:t>
            </w:r>
            <w:r>
              <w:rPr>
                <w:rFonts w:eastAsia="等线"/>
                <w:szCs w:val="21"/>
              </w:rPr>
              <w:t>.2</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jc w:val="left"/>
              <w:rPr>
                <w:rFonts w:eastAsia="等线"/>
                <w:szCs w:val="21"/>
              </w:rPr>
            </w:pPr>
            <w:r>
              <w:rPr>
                <w:rFonts w:eastAsia="等线"/>
                <w:szCs w:val="21"/>
              </w:rPr>
              <w:t>5.</w:t>
            </w:r>
            <w:r>
              <w:rPr>
                <w:rFonts w:hint="eastAsia" w:eastAsia="等线"/>
                <w:szCs w:val="21"/>
              </w:rPr>
              <w:t>3</w:t>
            </w:r>
            <w:r>
              <w:rPr>
                <w:rFonts w:eastAsia="等线"/>
                <w:szCs w:val="21"/>
              </w:rPr>
              <w:t>.3</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hint="eastAsia" w:eastAsia="等线"/>
                <w:szCs w:val="21"/>
              </w:rPr>
              <w:t>6</w:t>
            </w:r>
            <w:r>
              <w:rPr>
                <w:rFonts w:eastAsia="等线"/>
                <w:szCs w:val="21"/>
              </w:rPr>
              <w:t>.1.1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实验室应配备合适的灭火设备，并定期开展使用训练</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烟感</w:t>
            </w:r>
            <w:r>
              <w:rPr>
                <w:rFonts w:ascii="宋体" w:hAnsi="宋体"/>
                <w:kern w:val="0"/>
                <w:szCs w:val="21"/>
              </w:rPr>
              <w:t>报警器、</w:t>
            </w:r>
            <w:r>
              <w:rPr>
                <w:rFonts w:hint="eastAsia" w:ascii="宋体" w:hAnsi="宋体"/>
                <w:kern w:val="0"/>
                <w:szCs w:val="21"/>
              </w:rPr>
              <w:t>灭火器、灭火毯、消防沙、消防喷淋等，应正常有效、</w:t>
            </w:r>
            <w:r>
              <w:rPr>
                <w:rFonts w:ascii="宋体" w:hAnsi="宋体"/>
                <w:kern w:val="0"/>
                <w:szCs w:val="21"/>
              </w:rPr>
              <w:t>方便取用</w:t>
            </w:r>
            <w:r>
              <w:rPr>
                <w:rFonts w:hint="eastAsia" w:ascii="宋体" w:hAnsi="宋体"/>
                <w:kern w:val="0"/>
                <w:szCs w:val="21"/>
              </w:rPr>
              <w:t>；灭火器种类配置正确；灭火器在有效期内（压力指针</w:t>
            </w:r>
            <w:r>
              <w:rPr>
                <w:rFonts w:ascii="宋体" w:hAnsi="宋体"/>
                <w:kern w:val="0"/>
                <w:szCs w:val="21"/>
              </w:rPr>
              <w:t>位置</w:t>
            </w:r>
            <w:r>
              <w:rPr>
                <w:rFonts w:hint="eastAsia" w:ascii="宋体" w:hAnsi="宋体"/>
                <w:kern w:val="0"/>
                <w:szCs w:val="21"/>
              </w:rPr>
              <w:t>正常等），安全销（拉针）正常，瓶身无破损、腐蚀</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hint="eastAsia" w:eastAsia="等线"/>
                <w:szCs w:val="21"/>
              </w:rPr>
              <w:t>6</w:t>
            </w:r>
            <w:r>
              <w:rPr>
                <w:rFonts w:eastAsia="等线"/>
                <w:szCs w:val="21"/>
              </w:rPr>
              <w:t>.1.</w:t>
            </w:r>
            <w:r>
              <w:rPr>
                <w:rFonts w:hint="eastAsia" w:eastAsia="等线"/>
                <w:szCs w:val="21"/>
              </w:rPr>
              <w:t>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紧急逃生疏散路线通畅</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在显著位置张贴有紧急逃生疏散路线图，疏散路线图的逃生路线应有二条（含）以上；路线与现场情况符合；主要逃生路径（室内、楼梯、通道和出口处）有足够的紧急照明灯，功能正常；师生应熟悉紧急疏散路线及火场逃生注意事项</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应急喷淋</w:t>
            </w:r>
            <w:r>
              <w:rPr>
                <w:rFonts w:hint="eastAsia" w:ascii="宋体" w:hAnsi="宋体"/>
                <w:b/>
                <w:kern w:val="0"/>
                <w:szCs w:val="21"/>
              </w:rPr>
              <w:t>与</w:t>
            </w:r>
            <w:r>
              <w:rPr>
                <w:rFonts w:ascii="宋体" w:hAnsi="宋体"/>
                <w:b/>
                <w:kern w:val="0"/>
                <w:szCs w:val="21"/>
              </w:rPr>
              <w:t>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存在可能受到化学和生物伤害的实验区域，需配置应急喷淋和洗眼装置</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有显著引导标识</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应急喷淋与洗眼装置安装合理，并能正常使用</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应急喷淋安装地点与工作区域之间畅通，距离不超过30米；应急喷淋安装位置合适，拉杆位置</w:t>
            </w:r>
            <w:r>
              <w:rPr>
                <w:rFonts w:ascii="宋体" w:hAnsi="宋体"/>
                <w:kern w:val="0"/>
                <w:szCs w:val="21"/>
              </w:rPr>
              <w:t>合适、</w:t>
            </w:r>
            <w:r>
              <w:rPr>
                <w:rFonts w:hint="eastAsia" w:ascii="宋体" w:hAnsi="宋体"/>
                <w:kern w:val="0"/>
                <w:szCs w:val="21"/>
              </w:rPr>
              <w:t>方向</w:t>
            </w:r>
            <w:r>
              <w:rPr>
                <w:rFonts w:ascii="宋体" w:hAnsi="宋体"/>
                <w:kern w:val="0"/>
                <w:szCs w:val="21"/>
              </w:rPr>
              <w:t>正确</w:t>
            </w:r>
            <w:r>
              <w:rPr>
                <w:rFonts w:hint="eastAsia" w:ascii="宋体" w:hAnsi="宋体"/>
                <w:kern w:val="0"/>
                <w:szCs w:val="21"/>
              </w:rPr>
              <w:t>；</w:t>
            </w:r>
            <w:r>
              <w:rPr>
                <w:rFonts w:ascii="宋体" w:hAnsi="宋体"/>
                <w:kern w:val="0"/>
                <w:szCs w:val="21"/>
              </w:rPr>
              <w:t>应急喷淋装置水管总阀处常开状，喷</w:t>
            </w:r>
            <w:r>
              <w:rPr>
                <w:rFonts w:hint="eastAsia" w:ascii="宋体" w:hAnsi="宋体"/>
                <w:kern w:val="0"/>
                <w:szCs w:val="21"/>
              </w:rPr>
              <w:t>淋</w:t>
            </w:r>
            <w:r>
              <w:rPr>
                <w:rFonts w:ascii="宋体" w:hAnsi="宋体"/>
                <w:kern w:val="0"/>
                <w:szCs w:val="21"/>
              </w:rPr>
              <w:t>头下方无障碍物</w:t>
            </w:r>
            <w:r>
              <w:rPr>
                <w:rFonts w:hint="eastAsia" w:ascii="宋体" w:hAnsi="宋体"/>
                <w:kern w:val="0"/>
                <w:szCs w:val="21"/>
              </w:rPr>
              <w:t>；</w:t>
            </w:r>
            <w:r>
              <w:rPr>
                <w:rFonts w:ascii="宋体" w:hAnsi="宋体"/>
                <w:kern w:val="0"/>
                <w:szCs w:val="21"/>
              </w:rPr>
              <w:t>不能以普通淋浴装置代替应急喷淋装置</w:t>
            </w:r>
            <w:r>
              <w:rPr>
                <w:rFonts w:hint="eastAsia" w:ascii="宋体" w:hAnsi="宋体"/>
                <w:kern w:val="0"/>
                <w:szCs w:val="21"/>
              </w:rPr>
              <w:t>；洗眼装置接入生活用水管道，水量水压适中（喷出高度</w:t>
            </w:r>
            <w:r>
              <w:rPr>
                <w:rFonts w:ascii="宋体" w:hAnsi="宋体"/>
                <w:kern w:val="0"/>
                <w:szCs w:val="21"/>
              </w:rPr>
              <w:t>8</w:t>
            </w:r>
            <w:r>
              <w:rPr>
                <w:rFonts w:hint="eastAsia" w:ascii="宋体" w:hAnsi="宋体"/>
                <w:kern w:val="0"/>
                <w:szCs w:val="21"/>
              </w:rPr>
              <w:t>-10厘米），</w:t>
            </w:r>
            <w:r>
              <w:rPr>
                <w:rFonts w:hint="eastAsia" w:ascii="宋体" w:hAnsi="宋体"/>
                <w:bCs/>
                <w:kern w:val="0"/>
                <w:szCs w:val="21"/>
              </w:rPr>
              <w:t>水流畅通平稳</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6.2.3</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定期对应急喷淋与</w:t>
            </w:r>
            <w:r>
              <w:rPr>
                <w:rFonts w:ascii="宋体" w:hAnsi="宋体"/>
                <w:kern w:val="0"/>
                <w:szCs w:val="21"/>
              </w:rPr>
              <w:t>洗眼</w:t>
            </w:r>
            <w:r>
              <w:rPr>
                <w:rFonts w:hint="eastAsia" w:ascii="宋体" w:hAnsi="宋体"/>
                <w:kern w:val="0"/>
                <w:szCs w:val="21"/>
              </w:rPr>
              <w:t>装置进行维护</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有检查记录（每月启动一次阀门，时刻保证管内流水畅通）；每周擦拭洗眼喷头，</w:t>
            </w:r>
            <w:r>
              <w:rPr>
                <w:rFonts w:hint="eastAsia" w:ascii="宋体" w:hAnsi="宋体"/>
                <w:bCs/>
                <w:kern w:val="0"/>
                <w:szCs w:val="21"/>
              </w:rPr>
              <w:t>无锈水脏水</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6.3.1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有需要的实验场所</w:t>
            </w:r>
            <w:r>
              <w:rPr>
                <w:rFonts w:ascii="宋体" w:hAnsi="宋体"/>
                <w:kern w:val="0"/>
                <w:szCs w:val="21"/>
              </w:rPr>
              <w:t>配备符合</w:t>
            </w:r>
            <w:r>
              <w:rPr>
                <w:rFonts w:hint="eastAsia" w:ascii="宋体" w:hAnsi="宋体"/>
                <w:kern w:val="0"/>
                <w:szCs w:val="21"/>
              </w:rPr>
              <w:t>设计规范</w:t>
            </w:r>
            <w:r>
              <w:rPr>
                <w:rFonts w:ascii="宋体" w:hAnsi="宋体"/>
                <w:kern w:val="0"/>
                <w:szCs w:val="21"/>
              </w:rPr>
              <w:t>的通风系统</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hint="eastAsia" w:ascii="宋体" w:hAnsi="宋体"/>
                <w:bCs/>
                <w:kern w:val="0"/>
                <w:szCs w:val="21"/>
              </w:rPr>
              <w:t>；</w:t>
            </w:r>
            <w:r>
              <w:rPr>
                <w:rFonts w:hint="eastAsia" w:ascii="宋体" w:hAnsi="宋体"/>
                <w:kern w:val="0"/>
                <w:szCs w:val="21"/>
              </w:rPr>
              <w:t>实验室</w:t>
            </w:r>
            <w:r>
              <w:rPr>
                <w:rFonts w:ascii="宋体" w:hAnsi="宋体"/>
                <w:kern w:val="0"/>
                <w:szCs w:val="21"/>
              </w:rPr>
              <w:t>通风系统运行</w:t>
            </w:r>
            <w:r>
              <w:rPr>
                <w:rFonts w:hint="eastAsia" w:ascii="宋体" w:hAnsi="宋体"/>
                <w:kern w:val="0"/>
                <w:szCs w:val="21"/>
              </w:rPr>
              <w:t>正常，</w:t>
            </w:r>
            <w:r>
              <w:rPr>
                <w:rFonts w:hint="eastAsia"/>
                <w:szCs w:val="21"/>
              </w:rPr>
              <w:t>柜口面</w:t>
            </w:r>
            <w:r>
              <w:rPr>
                <w:rFonts w:hint="eastAsia" w:ascii="宋体" w:hAnsi="宋体"/>
                <w:kern w:val="0"/>
                <w:szCs w:val="21"/>
              </w:rPr>
              <w:t>风速0.</w:t>
            </w:r>
            <w:r>
              <w:rPr>
                <w:rFonts w:ascii="宋体" w:hAnsi="宋体"/>
                <w:kern w:val="0"/>
                <w:szCs w:val="21"/>
              </w:rPr>
              <w:t>3</w:t>
            </w:r>
            <w:r>
              <w:rPr>
                <w:rFonts w:hint="eastAsia" w:ascii="宋体" w:hAnsi="宋体"/>
                <w:kern w:val="0"/>
                <w:szCs w:val="21"/>
              </w:rPr>
              <w:t>5-0.</w:t>
            </w:r>
            <w:r>
              <w:rPr>
                <w:rFonts w:ascii="宋体" w:hAnsi="宋体"/>
                <w:kern w:val="0"/>
                <w:szCs w:val="21"/>
              </w:rPr>
              <w:t>7</w:t>
            </w:r>
            <w:r>
              <w:rPr>
                <w:rFonts w:hint="eastAsia" w:ascii="宋体" w:hAnsi="宋体"/>
                <w:kern w:val="0"/>
                <w:szCs w:val="21"/>
              </w:rPr>
              <w:t>5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6.3.2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通风橱的配置合理、使用正常、操作合规</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根据需要在通风橱管路上安装有毒有害气体的吸附或处理装置（如</w:t>
            </w:r>
            <w:r>
              <w:rPr>
                <w:rFonts w:ascii="宋体" w:hAnsi="宋体"/>
                <w:kern w:val="0"/>
                <w:szCs w:val="21"/>
              </w:rPr>
              <w:t>活性炭、光催化分</w:t>
            </w:r>
            <w:r>
              <w:rPr>
                <w:rFonts w:hint="eastAsia" w:ascii="宋体" w:hAnsi="宋体"/>
                <w:kern w:val="0"/>
                <w:szCs w:val="21"/>
              </w:rPr>
              <w:t>解</w:t>
            </w:r>
            <w:r>
              <w:rPr>
                <w:rFonts w:ascii="宋体" w:hAnsi="宋体"/>
                <w:kern w:val="0"/>
                <w:szCs w:val="21"/>
              </w:rPr>
              <w:t>、水喷淋等</w:t>
            </w:r>
            <w:r>
              <w:rPr>
                <w:rFonts w:hint="eastAsia" w:ascii="宋体" w:hAnsi="宋体"/>
                <w:kern w:val="0"/>
                <w:szCs w:val="21"/>
              </w:rPr>
              <w:t>）；任何可能产生高浓度有害气体而导致个人曝露、或产生可燃、可爆炸气体或蒸汽而导致积聚的实验，都应在通风橱内进行；进行实验时，可调玻璃视窗开至据台面10</w:t>
            </w:r>
            <w:r>
              <w:rPr>
                <w:rFonts w:ascii="宋体" w:hAnsi="宋体"/>
                <w:kern w:val="0"/>
                <w:szCs w:val="21"/>
              </w:rPr>
              <w:t>-</w:t>
            </w:r>
            <w:r>
              <w:rPr>
                <w:rFonts w:hint="eastAsia" w:ascii="宋体" w:hAnsi="宋体"/>
                <w:kern w:val="0"/>
                <w:szCs w:val="21"/>
              </w:rPr>
              <w:t>15厘米，保持</w:t>
            </w:r>
            <w:r>
              <w:rPr>
                <w:rFonts w:ascii="宋体" w:hAnsi="宋体"/>
                <w:kern w:val="0"/>
                <w:szCs w:val="21"/>
              </w:rPr>
              <w:t>通风效果，并保护</w:t>
            </w:r>
            <w:r>
              <w:rPr>
                <w:rFonts w:hint="eastAsia" w:ascii="宋体" w:hAnsi="宋体"/>
                <w:kern w:val="0"/>
                <w:szCs w:val="21"/>
              </w:rPr>
              <w:t>操作人员胸部以上部位；</w:t>
            </w:r>
            <w:r>
              <w:rPr>
                <w:rFonts w:ascii="宋体" w:hAnsi="宋体"/>
                <w:bCs/>
                <w:kern w:val="0"/>
                <w:szCs w:val="21"/>
              </w:rPr>
              <w:t>玻璃视窗材料应是钢化玻璃</w:t>
            </w:r>
            <w:r>
              <w:rPr>
                <w:rFonts w:hint="eastAsia" w:ascii="宋体" w:hAnsi="宋体"/>
                <w:bCs/>
                <w:kern w:val="0"/>
                <w:szCs w:val="21"/>
              </w:rPr>
              <w:t>；</w:t>
            </w:r>
            <w:r>
              <w:rPr>
                <w:rFonts w:hint="eastAsia" w:ascii="宋体" w:hAnsi="宋体"/>
                <w:kern w:val="0"/>
                <w:szCs w:val="21"/>
              </w:rPr>
              <w:t>实验人员在通风橱进行实验时，避免将头伸入调节门内；不可将一次性手套或较轻的塑料袋等留在通风橱内，以免堵塞排风口；通风橱内放置</w:t>
            </w:r>
            <w:r>
              <w:rPr>
                <w:rFonts w:ascii="宋体" w:hAnsi="宋体"/>
                <w:kern w:val="0"/>
                <w:szCs w:val="21"/>
              </w:rPr>
              <w:t>物品</w:t>
            </w:r>
            <w:r>
              <w:rPr>
                <w:rFonts w:hint="eastAsia" w:ascii="宋体" w:hAnsi="宋体"/>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hint="eastAsia" w:ascii="宋体" w:hAnsi="宋体"/>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6.4.1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szCs w:val="21"/>
              </w:rPr>
              <w:t>重点</w:t>
            </w:r>
            <w:r>
              <w:rPr>
                <w:rFonts w:ascii="宋体" w:hAnsi="宋体"/>
                <w:szCs w:val="21"/>
              </w:rPr>
              <w:t>场所</w:t>
            </w:r>
            <w:r>
              <w:rPr>
                <w:rFonts w:hint="eastAsia" w:ascii="宋体" w:hAnsi="宋体"/>
                <w:szCs w:val="21"/>
              </w:rPr>
              <w:t>需安装门禁和监控设施，并有专人管理</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关注重点场所</w:t>
            </w:r>
            <w:r>
              <w:rPr>
                <w:rFonts w:ascii="宋体" w:hAnsi="宋体"/>
                <w:szCs w:val="21"/>
              </w:rPr>
              <w:t>，如</w:t>
            </w:r>
            <w:r>
              <w:rPr>
                <w:rFonts w:hint="eastAsia" w:ascii="宋体" w:hAnsi="宋体"/>
                <w:szCs w:val="21"/>
              </w:rPr>
              <w:t>剧毒品、放射源存放点等危险源的管理</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6.4.2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szCs w:val="21"/>
              </w:rPr>
              <w:t>门禁和监控系统运转正常，与</w:t>
            </w:r>
            <w:r>
              <w:rPr>
                <w:rFonts w:ascii="宋体" w:hAnsi="宋体"/>
                <w:szCs w:val="21"/>
              </w:rPr>
              <w:t>实验室准入制度</w:t>
            </w:r>
            <w:r>
              <w:rPr>
                <w:rFonts w:hint="eastAsia" w:ascii="宋体" w:hAnsi="宋体"/>
                <w:szCs w:val="21"/>
              </w:rPr>
              <w:t>相</w:t>
            </w:r>
            <w:r>
              <w:rPr>
                <w:rFonts w:ascii="宋体" w:hAnsi="宋体"/>
                <w:szCs w:val="21"/>
              </w:rPr>
              <w:t>匹配</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监控不留死角，图像清晰，人员出入记录可查，建议视频记录存储时间大于1个月；</w:t>
            </w:r>
            <w:r>
              <w:rPr>
                <w:rFonts w:ascii="宋体" w:hAnsi="宋体"/>
                <w:szCs w:val="21"/>
              </w:rPr>
              <w:t>停电时</w:t>
            </w:r>
            <w:r>
              <w:rPr>
                <w:rFonts w:hint="eastAsia" w:ascii="宋体" w:hAnsi="宋体"/>
                <w:szCs w:val="21"/>
              </w:rPr>
              <w:t>，电子</w:t>
            </w:r>
            <w:r>
              <w:rPr>
                <w:rFonts w:ascii="宋体" w:hAnsi="宋体"/>
                <w:szCs w:val="21"/>
              </w:rPr>
              <w:t>门禁系统</w:t>
            </w:r>
            <w:r>
              <w:rPr>
                <w:rFonts w:hint="eastAsia" w:ascii="宋体" w:hAnsi="宋体"/>
                <w:szCs w:val="21"/>
              </w:rPr>
              <w:t>应</w:t>
            </w:r>
            <w:r>
              <w:rPr>
                <w:rFonts w:ascii="宋体" w:hAnsi="宋体"/>
                <w:szCs w:val="21"/>
              </w:rPr>
              <w:t>是开启状态</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pPr>
              <w:widowControl/>
              <w:spacing w:line="300" w:lineRule="exact"/>
              <w:jc w:val="left"/>
              <w:rPr>
                <w:rFonts w:ascii="宋体" w:hAnsi="宋体"/>
                <w:b/>
                <w:szCs w:val="21"/>
              </w:rPr>
            </w:pPr>
            <w:r>
              <w:rPr>
                <w:rFonts w:hint="eastAsia" w:ascii="宋体" w:hAnsi="宋体"/>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6.5.1</w:t>
            </w:r>
          </w:p>
        </w:tc>
        <w:tc>
          <w:tcPr>
            <w:tcW w:w="3820" w:type="dxa"/>
            <w:tcMar>
              <w:left w:w="45" w:type="dxa"/>
              <w:right w:w="45" w:type="dxa"/>
            </w:tcMar>
            <w:vAlign w:val="center"/>
          </w:tcPr>
          <w:p>
            <w:pPr>
              <w:spacing w:line="300" w:lineRule="exact"/>
              <w:rPr>
                <w:rFonts w:ascii="宋体" w:hAnsi="宋体"/>
                <w:szCs w:val="21"/>
              </w:rPr>
            </w:pPr>
            <w:r>
              <w:rPr>
                <w:rFonts w:hint="eastAsia" w:ascii="宋体" w:hAnsi="宋体"/>
                <w:szCs w:val="21"/>
              </w:rPr>
              <w:t>有防爆需求</w:t>
            </w:r>
            <w:r>
              <w:rPr>
                <w:rFonts w:ascii="宋体" w:hAnsi="宋体"/>
                <w:szCs w:val="21"/>
              </w:rPr>
              <w:t>的</w:t>
            </w:r>
            <w:r>
              <w:rPr>
                <w:rFonts w:hint="eastAsia" w:ascii="宋体" w:hAnsi="宋体"/>
                <w:szCs w:val="21"/>
              </w:rPr>
              <w:t>实验室需符合防爆设计要求</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安装有防爆开关、防爆灯等，安装必要</w:t>
            </w:r>
            <w:r>
              <w:rPr>
                <w:rFonts w:ascii="宋体" w:hAnsi="宋体"/>
                <w:szCs w:val="21"/>
              </w:rPr>
              <w:t>的</w:t>
            </w:r>
            <w:r>
              <w:rPr>
                <w:rFonts w:hint="eastAsia" w:ascii="宋体" w:hAnsi="宋体"/>
                <w:szCs w:val="21"/>
              </w:rPr>
              <w:t>气体报警系统、监控系统及断电断水应急系统等；对于产生可燃气体或蒸汽的装置，应在其进、出口处安装阻火器；室内应加强通风，以使爆炸物浓度控制在爆炸下限值以下</w:t>
            </w:r>
          </w:p>
        </w:tc>
        <w:tc>
          <w:tcPr>
            <w:tcW w:w="2829" w:type="dxa"/>
            <w:tcMar>
              <w:left w:w="45" w:type="dxa"/>
              <w:right w:w="45" w:type="dxa"/>
            </w:tcMar>
            <w:vAlign w:val="center"/>
          </w:tcPr>
          <w:p>
            <w:pPr>
              <w:widowControl/>
              <w:spacing w:line="3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6.5.2</w:t>
            </w:r>
          </w:p>
        </w:tc>
        <w:tc>
          <w:tcPr>
            <w:tcW w:w="3820" w:type="dxa"/>
            <w:tcMar>
              <w:left w:w="45" w:type="dxa"/>
              <w:right w:w="45" w:type="dxa"/>
            </w:tcMar>
            <w:vAlign w:val="center"/>
          </w:tcPr>
          <w:p>
            <w:pPr>
              <w:spacing w:line="300" w:lineRule="exact"/>
              <w:rPr>
                <w:rFonts w:ascii="宋体" w:hAnsi="宋体"/>
                <w:szCs w:val="21"/>
              </w:rPr>
            </w:pPr>
            <w:r>
              <w:rPr>
                <w:rFonts w:hint="eastAsia" w:ascii="宋体" w:hAnsi="宋体"/>
                <w:szCs w:val="21"/>
              </w:rPr>
              <w:t>应妥善防护具有爆炸危险性的仪器设备</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使用合适的安全罩防护</w:t>
            </w:r>
          </w:p>
        </w:tc>
        <w:tc>
          <w:tcPr>
            <w:tcW w:w="2829" w:type="dxa"/>
            <w:tcMar>
              <w:left w:w="45" w:type="dxa"/>
              <w:right w:w="45" w:type="dxa"/>
            </w:tcMar>
            <w:vAlign w:val="center"/>
          </w:tcPr>
          <w:p>
            <w:pPr>
              <w:widowControl/>
              <w:spacing w:line="3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基础</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7.1.1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r>
              <w:rPr>
                <w:rFonts w:hint="eastAsia"/>
                <w:kern w:val="0"/>
                <w:szCs w:val="21"/>
              </w:rPr>
              <w:t>；无人监管状态下，应切断充电器（宝）的充电电源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个人</w:t>
            </w:r>
            <w:r>
              <w:rPr>
                <w:b/>
                <w:kern w:val="0"/>
                <w:szCs w:val="21"/>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pPr>
              <w:spacing w:line="300" w:lineRule="exact"/>
              <w:jc w:val="left"/>
              <w:rPr>
                <w:kern w:val="0"/>
                <w:szCs w:val="21"/>
              </w:rPr>
            </w:pP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pPr>
              <w:spacing w:line="300" w:lineRule="exact"/>
              <w:jc w:val="left"/>
              <w:rPr>
                <w:kern w:val="0"/>
                <w:szCs w:val="21"/>
              </w:rPr>
            </w:pPr>
            <w:r>
              <w:rPr>
                <w:rFonts w:hint="eastAsia"/>
                <w:kern w:val="0"/>
                <w:szCs w:val="21"/>
              </w:rPr>
              <w:t>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8.2.1</w:t>
            </w:r>
          </w:p>
        </w:tc>
        <w:tc>
          <w:tcPr>
            <w:tcW w:w="3820" w:type="dxa"/>
            <w:tcMar>
              <w:left w:w="45" w:type="dxa"/>
              <w:right w:w="45" w:type="dxa"/>
            </w:tcMar>
            <w:vAlign w:val="center"/>
          </w:tcPr>
          <w:p>
            <w:pPr>
              <w:widowControl/>
              <w:spacing w:line="300" w:lineRule="exact"/>
              <w:rPr>
                <w:b/>
                <w:kern w:val="0"/>
                <w:szCs w:val="21"/>
              </w:rPr>
            </w:pPr>
            <w:r>
              <w:rPr>
                <w:rFonts w:hint="eastAsia"/>
                <w:kern w:val="0"/>
                <w:szCs w:val="21"/>
              </w:rPr>
              <w:t>实验室</w:t>
            </w:r>
            <w:r>
              <w:rPr>
                <w:kern w:val="0"/>
                <w:szCs w:val="21"/>
              </w:rPr>
              <w:t>内化学品</w:t>
            </w:r>
            <w:r>
              <w:rPr>
                <w:rFonts w:hint="eastAsia"/>
                <w:kern w:val="0"/>
                <w:szCs w:val="21"/>
              </w:rPr>
              <w:t>建有</w:t>
            </w:r>
            <w:r>
              <w:rPr>
                <w:kern w:val="0"/>
                <w:szCs w:val="21"/>
              </w:rPr>
              <w:t>动态台帐</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化学品安全技术说明书（MSDS）或安全周知卡，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或接线板；化学品有序分类存放；配备必要的二次泄漏防护、吸附或防溢流功能；试剂不得叠放、配伍禁忌化学品不得混存、固体液体不混乱放置、氧化和</w:t>
            </w:r>
            <w:r>
              <w:rPr>
                <w:kern w:val="0"/>
                <w:szCs w:val="21"/>
              </w:rPr>
              <w:t>还原化学品不得混放、</w:t>
            </w:r>
            <w:r>
              <w:rPr>
                <w:rFonts w:hint="eastAsia"/>
                <w:kern w:val="0"/>
                <w:szCs w:val="21"/>
              </w:rPr>
              <w:t>装有试剂的试剂瓶不得开口放置；实验台架无挡板不得存放化学试剂</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8.2.3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原</w:t>
            </w:r>
            <w:r>
              <w:rPr>
                <w:kern w:val="0"/>
                <w:szCs w:val="21"/>
              </w:rPr>
              <w:t>则上</w:t>
            </w:r>
            <w:r>
              <w:rPr>
                <w:rFonts w:hint="eastAsia"/>
                <w:kern w:val="0"/>
                <w:szCs w:val="21"/>
              </w:rPr>
              <w:t>不应超过100公升或100千克，其中易燃易爆性化学品的存放总量不应超过50公升或50千克，且单一包装容器不应大于20公升或20千克；</w:t>
            </w:r>
            <w:r>
              <w:rPr>
                <w:kern w:val="0"/>
                <w:szCs w:val="21"/>
              </w:rPr>
              <w:t>单个实验装置存在10</w:t>
            </w:r>
            <w:r>
              <w:rPr>
                <w:rFonts w:hint="eastAsia"/>
                <w:kern w:val="0"/>
                <w:szCs w:val="21"/>
              </w:rPr>
              <w:t>公升</w:t>
            </w:r>
            <w:r>
              <w:rPr>
                <w:kern w:val="0"/>
                <w:szCs w:val="21"/>
              </w:rPr>
              <w:t>以上甲类物质储罐，或20</w:t>
            </w:r>
            <w:r>
              <w:rPr>
                <w:rFonts w:hint="eastAsia"/>
                <w:kern w:val="0"/>
                <w:szCs w:val="21"/>
              </w:rPr>
              <w:t>公升</w:t>
            </w:r>
            <w:r>
              <w:rPr>
                <w:kern w:val="0"/>
                <w:szCs w:val="21"/>
              </w:rPr>
              <w:t>以上乙类物质储罐，或50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化学品标签应显著完整清晰</w:t>
            </w:r>
          </w:p>
        </w:tc>
        <w:tc>
          <w:tcPr>
            <w:tcW w:w="7374" w:type="dxa"/>
            <w:tcMar>
              <w:left w:w="45" w:type="dxa"/>
              <w:right w:w="45" w:type="dxa"/>
            </w:tcMar>
            <w:vAlign w:val="center"/>
          </w:tcPr>
          <w:p>
            <w:pPr>
              <w:widowControl/>
              <w:spacing w:line="300" w:lineRule="exact"/>
              <w:jc w:val="left"/>
              <w:rPr>
                <w:bCs/>
                <w:kern w:val="0"/>
                <w:szCs w:val="21"/>
              </w:rPr>
            </w:pPr>
            <w:r>
              <w:rPr>
                <w:rFonts w:hint="eastAsia" w:ascii="宋体" w:hAnsi="ºÚÌå" w:cs="宋体"/>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hint="eastAsia" w:ascii="宋体" w:hAnsi="ºÚÌå" w:cs="宋体"/>
                <w:kern w:val="0"/>
                <w:szCs w:val="21"/>
              </w:rPr>
              <w:t>后应及时补上，如不能确认，则以废弃化学品处置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标准操作规程（SOP）</w:t>
            </w:r>
            <w:r>
              <w:rPr>
                <w:rFonts w:hint="eastAsia"/>
                <w:kern w:val="0"/>
                <w:szCs w:val="21"/>
              </w:rPr>
              <w:t>、应急预案</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管制类化学品</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8.4.1</w:t>
            </w:r>
          </w:p>
        </w:tc>
        <w:tc>
          <w:tcPr>
            <w:tcW w:w="3820" w:type="dxa"/>
            <w:tcMar>
              <w:left w:w="45" w:type="dxa"/>
              <w:right w:w="45" w:type="dxa"/>
            </w:tcMar>
            <w:vAlign w:val="center"/>
          </w:tcPr>
          <w:p>
            <w:pPr>
              <w:widowControl/>
              <w:spacing w:line="300" w:lineRule="exact"/>
              <w:jc w:val="left"/>
              <w:rPr>
                <w:kern w:val="0"/>
                <w:szCs w:val="21"/>
              </w:rPr>
            </w:pPr>
            <w:r>
              <w:rPr>
                <w:kern w:val="0"/>
                <w:szCs w:val="21"/>
              </w:rPr>
              <w:t>易制毒品</w:t>
            </w:r>
            <w:r>
              <w:rPr>
                <w:rFonts w:hint="eastAsia"/>
                <w:kern w:val="0"/>
                <w:szCs w:val="21"/>
              </w:rPr>
              <w:t>、易制爆品</w:t>
            </w:r>
            <w:r>
              <w:rPr>
                <w:kern w:val="0"/>
                <w:szCs w:val="21"/>
              </w:rPr>
              <w:t>分类存放、专人保管，做好领取、使用、处置记录</w:t>
            </w:r>
          </w:p>
        </w:tc>
        <w:tc>
          <w:tcPr>
            <w:tcW w:w="7374" w:type="dxa"/>
            <w:tcMar>
              <w:left w:w="45" w:type="dxa"/>
              <w:right w:w="45" w:type="dxa"/>
            </w:tcMar>
            <w:vAlign w:val="center"/>
          </w:tcPr>
          <w:p>
            <w:pPr>
              <w:widowControl/>
              <w:spacing w:line="300" w:lineRule="exact"/>
              <w:jc w:val="left"/>
              <w:rPr>
                <w:bCs/>
                <w:kern w:val="0"/>
                <w:szCs w:val="21"/>
              </w:rPr>
            </w:pPr>
            <w:r>
              <w:rPr>
                <w:kern w:val="0"/>
                <w:szCs w:val="21"/>
              </w:rPr>
              <w:t>其中第一类易制毒品实行“五双”管理制度</w:t>
            </w:r>
            <w:r>
              <w:rPr>
                <w:rFonts w:hint="eastAsia"/>
                <w:kern w:val="0"/>
                <w:szCs w:val="21"/>
              </w:rPr>
              <w:t>；剧毒品</w:t>
            </w:r>
            <w:r>
              <w:rPr>
                <w:kern w:val="0"/>
                <w:szCs w:val="21"/>
              </w:rPr>
              <w:t>配备专门的保险柜并固定，实行双人双锁保管</w:t>
            </w:r>
            <w:r>
              <w:rPr>
                <w:rFonts w:hint="eastAsia"/>
                <w:kern w:val="0"/>
                <w:szCs w:val="21"/>
              </w:rPr>
              <w:t>制度；</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装置；剧毒品使用时须有两人同时在场；</w:t>
            </w:r>
            <w:r>
              <w:rPr>
                <w:kern w:val="0"/>
                <w:szCs w:val="21"/>
              </w:rPr>
              <w:t>剧毒品处置</w:t>
            </w:r>
            <w:r>
              <w:rPr>
                <w:rFonts w:hint="eastAsia"/>
                <w:kern w:val="0"/>
                <w:szCs w:val="21"/>
              </w:rPr>
              <w:t>建有规范流</w:t>
            </w:r>
            <w:r>
              <w:rPr>
                <w:kern w:val="0"/>
                <w:szCs w:val="21"/>
              </w:rPr>
              <w:t>程</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麻醉品和精神类药品储存于专门的保险柜中，有规范的领取、使用、处置台账</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pPr>
              <w:widowControl/>
              <w:spacing w:line="300" w:lineRule="exact"/>
              <w:jc w:val="left"/>
              <w:rPr>
                <w:bCs/>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r>
              <w:rPr>
                <w:rFonts w:hint="eastAsia"/>
                <w:kern w:val="0"/>
                <w:szCs w:val="21"/>
              </w:rPr>
              <w:t>；</w:t>
            </w:r>
            <w:r>
              <w:rPr>
                <w:kern w:val="0"/>
                <w:szCs w:val="21"/>
              </w:rPr>
              <w:t>无大量气体钢瓶堆放现象</w:t>
            </w:r>
            <w:r>
              <w:rPr>
                <w:rFonts w:hint="eastAsia"/>
                <w:kern w:val="0"/>
                <w:szCs w:val="21"/>
              </w:rPr>
              <w:t>；</w:t>
            </w:r>
            <w:r>
              <w:rPr>
                <w:rFonts w:hint="eastAsia" w:ascii="宋体" w:cs="宋体"/>
                <w:kern w:val="0"/>
                <w:szCs w:val="21"/>
              </w:rPr>
              <w:t>每间实验室内存放的氧气和可燃气体均不宜超过一瓶，其他气瓶的存放，应控制在最小需求量；</w:t>
            </w:r>
            <w:r>
              <w:rPr>
                <w:kern w:val="0"/>
                <w:szCs w:val="21"/>
              </w:rPr>
              <w:t>气体钢瓶不得放在走廊、大厅等公共场所</w:t>
            </w:r>
            <w:r>
              <w:rPr>
                <w:rFonts w:hint="eastAsia"/>
                <w:kern w:val="0"/>
                <w:szCs w:val="21"/>
              </w:rPr>
              <w:t>；</w:t>
            </w:r>
            <w:r>
              <w:rPr>
                <w:kern w:val="0"/>
                <w:szCs w:val="21"/>
              </w:rPr>
              <w:t>涉及剧毒、易燃易爆气体的场所，配有通风设施和</w:t>
            </w:r>
            <w:r>
              <w:rPr>
                <w:rFonts w:hint="eastAsia"/>
                <w:kern w:val="0"/>
                <w:szCs w:val="21"/>
              </w:rPr>
              <w:t>相应</w:t>
            </w:r>
            <w:r>
              <w:rPr>
                <w:kern w:val="0"/>
                <w:szCs w:val="21"/>
              </w:rPr>
              <w:t>的</w:t>
            </w:r>
            <w:r>
              <w:rPr>
                <w:rFonts w:hint="eastAsia"/>
                <w:kern w:val="0"/>
                <w:szCs w:val="21"/>
              </w:rPr>
              <w:t>气体</w:t>
            </w:r>
            <w:r>
              <w:rPr>
                <w:kern w:val="0"/>
                <w:szCs w:val="21"/>
              </w:rPr>
              <w:t>监控</w:t>
            </w:r>
            <w:r>
              <w:rPr>
                <w:rFonts w:hint="eastAsia"/>
                <w:kern w:val="0"/>
                <w:szCs w:val="21"/>
              </w:rPr>
              <w:t>和</w:t>
            </w:r>
            <w:r>
              <w:rPr>
                <w:kern w:val="0"/>
                <w:szCs w:val="21"/>
              </w:rPr>
              <w:t>报警装置等</w:t>
            </w:r>
            <w:r>
              <w:rPr>
                <w:rFonts w:hint="eastAsia"/>
                <w:kern w:val="0"/>
                <w:szCs w:val="21"/>
              </w:rPr>
              <w:t>，</w:t>
            </w:r>
            <w:r>
              <w:rPr>
                <w:kern w:val="0"/>
                <w:szCs w:val="21"/>
              </w:rPr>
              <w:t>张贴必要的安全警示标识</w:t>
            </w:r>
            <w:r>
              <w:rPr>
                <w:rFonts w:hint="eastAsia"/>
                <w:kern w:val="0"/>
                <w:szCs w:val="21"/>
              </w:rPr>
              <w:t>；</w:t>
            </w:r>
            <w:r>
              <w:rPr>
                <w:kern w:val="0"/>
                <w:szCs w:val="21"/>
              </w:rPr>
              <w:t>可燃性气体与氧气等助燃气体不混放</w:t>
            </w:r>
            <w:r>
              <w:rPr>
                <w:rFonts w:hint="eastAsia"/>
                <w:kern w:val="0"/>
                <w:szCs w:val="21"/>
              </w:rPr>
              <w:t>；建有独</w:t>
            </w:r>
            <w:r>
              <w:rPr>
                <w:kern w:val="0"/>
                <w:szCs w:val="21"/>
              </w:rPr>
              <w:t>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w:t>
            </w:r>
            <w:r>
              <w:rPr>
                <w:rFonts w:hint="eastAsia"/>
                <w:kern w:val="0"/>
                <w:szCs w:val="21"/>
              </w:rPr>
              <w:t>标识、</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设置必要的气体报警装置</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需加装氧含量报警</w:t>
            </w:r>
            <w:r>
              <w:rPr>
                <w:rFonts w:hint="eastAsia"/>
                <w:szCs w:val="21"/>
              </w:rPr>
              <w:t>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钢瓶帽；钢瓶中的气体是明确的，无过期钢瓶；确认“满、使用中、空瓶”三种状态；及时关闭气瓶总阀</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化学废弃物处置</w:t>
            </w:r>
            <w:r>
              <w:rPr>
                <w:rFonts w:hint="eastAsia"/>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6</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kern w:val="0"/>
                <w:szCs w:val="21"/>
              </w:rPr>
              <w:t>化学废弃物</w:t>
            </w:r>
            <w:r>
              <w:rPr>
                <w:rFonts w:hint="eastAsia"/>
                <w:kern w:val="0"/>
                <w:szCs w:val="21"/>
              </w:rPr>
              <w:t>需</w:t>
            </w:r>
            <w:r>
              <w:rPr>
                <w:kern w:val="0"/>
                <w:szCs w:val="21"/>
              </w:rPr>
              <w:t>进行规范处置</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r>
              <w:rPr>
                <w:rFonts w:hint="eastAsia"/>
                <w:kern w:val="0"/>
                <w:szCs w:val="21"/>
              </w:rPr>
              <w:t>；化学</w:t>
            </w:r>
            <w:r>
              <w:rPr>
                <w:kern w:val="0"/>
                <w:szCs w:val="21"/>
              </w:rPr>
              <w:t>废弃物</w:t>
            </w:r>
            <w:r>
              <w:rPr>
                <w:rFonts w:hint="eastAsia"/>
                <w:kern w:val="0"/>
                <w:szCs w:val="21"/>
              </w:rPr>
              <w:t>由具备相应</w:t>
            </w:r>
            <w:r>
              <w:rPr>
                <w:kern w:val="0"/>
                <w:szCs w:val="21"/>
              </w:rPr>
              <w:t>资质的单位（企业）签约处置</w:t>
            </w:r>
            <w:r>
              <w:rPr>
                <w:rFonts w:hint="eastAsia"/>
                <w:kern w:val="0"/>
                <w:szCs w:val="21"/>
              </w:rPr>
              <w:t>。</w:t>
            </w:r>
            <w:r>
              <w:rPr>
                <w:rFonts w:hint="eastAsia"/>
                <w:bCs/>
                <w:kern w:val="0"/>
                <w:szCs w:val="21"/>
              </w:rPr>
              <w:t>查看</w:t>
            </w:r>
            <w:r>
              <w:rPr>
                <w:bCs/>
                <w:kern w:val="0"/>
                <w:szCs w:val="21"/>
              </w:rPr>
              <w:t>委托合同及处置单位的资质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6</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学校有统一的化学实验废弃物标签</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标签信息包括：</w:t>
            </w:r>
            <w:r>
              <w:rPr>
                <w:kern w:val="0"/>
                <w:szCs w:val="21"/>
              </w:rPr>
              <w:t>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6</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配备化学实验废弃物分类容器</w:t>
            </w:r>
          </w:p>
        </w:tc>
        <w:tc>
          <w:tcPr>
            <w:tcW w:w="7374" w:type="dxa"/>
            <w:tcMar>
              <w:left w:w="45" w:type="dxa"/>
              <w:right w:w="45" w:type="dxa"/>
            </w:tcMar>
            <w:vAlign w:val="center"/>
          </w:tcPr>
          <w:p>
            <w:pPr>
              <w:widowControl/>
              <w:spacing w:line="300" w:lineRule="exact"/>
              <w:jc w:val="left"/>
              <w:rPr>
                <w:bCs/>
                <w:kern w:val="0"/>
                <w:szCs w:val="21"/>
              </w:rPr>
            </w:pP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rPr>
              <w:t>公称容积的</w:t>
            </w:r>
            <w:r>
              <w:t>85%</w:t>
            </w:r>
            <w:r>
              <w:rPr>
                <w:rFonts w:hint="eastAsia"/>
                <w:bCs/>
                <w:kern w:val="0"/>
                <w:szCs w:val="21"/>
              </w:rPr>
              <w:t>；</w:t>
            </w:r>
            <w:r>
              <w:rPr>
                <w:rFonts w:hint="eastAsia"/>
                <w:kern w:val="0"/>
                <w:szCs w:val="21"/>
              </w:rPr>
              <w:t>对于</w:t>
            </w:r>
            <w:r>
              <w:rPr>
                <w:kern w:val="0"/>
                <w:szCs w:val="21"/>
              </w:rPr>
              <w:t>危险性大的废弃物，要独立包装，标签信息明确</w:t>
            </w:r>
            <w:r>
              <w:rPr>
                <w:rFonts w:hint="eastAsia"/>
                <w:kern w:val="0"/>
                <w:szCs w:val="21"/>
              </w:rPr>
              <w:t>；不能混合，尽量原瓶装，加贴废弃物标签</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化学实验废弃物中转站</w:t>
            </w:r>
            <w:r>
              <w:rPr>
                <w:rFonts w:hint="eastAsia"/>
                <w:kern w:val="0"/>
                <w:szCs w:val="21"/>
              </w:rPr>
              <w:t>，对废弃物集中定点存放</w:t>
            </w:r>
          </w:p>
        </w:tc>
        <w:tc>
          <w:tcPr>
            <w:tcW w:w="7374" w:type="dxa"/>
            <w:tcMar>
              <w:left w:w="45" w:type="dxa"/>
              <w:right w:w="45" w:type="dxa"/>
            </w:tcMar>
            <w:vAlign w:val="center"/>
          </w:tcPr>
          <w:p>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w:t>
            </w:r>
            <w:r>
              <w:rPr>
                <w:rFonts w:hint="eastAsia"/>
                <w:kern w:val="0"/>
                <w:szCs w:val="21"/>
              </w:rPr>
              <w:t>不超过30平方米；</w:t>
            </w: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r>
              <w:rPr>
                <w:rFonts w:hint="eastAsia"/>
                <w:kern w:val="0"/>
                <w:szCs w:val="21"/>
              </w:rPr>
              <w:t>暂存库不能在</w:t>
            </w:r>
            <w:r>
              <w:rPr>
                <w:kern w:val="0"/>
                <w:szCs w:val="21"/>
              </w:rPr>
              <w:t>地下室空间</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其它化学安全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试剂</w:t>
            </w:r>
            <w:r>
              <w:rPr>
                <w:kern w:val="0"/>
                <w:szCs w:val="21"/>
              </w:rPr>
              <w:t>需要张贴标签</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标签</w:t>
            </w:r>
            <w:r>
              <w:rPr>
                <w:kern w:val="0"/>
                <w:szCs w:val="21"/>
              </w:rPr>
              <w:t>信息包括名称、浓度、责任人、日期、储存条件等</w:t>
            </w: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r>
              <w:rPr>
                <w:rFonts w:hint="eastAsia"/>
                <w:kern w:val="0"/>
                <w:szCs w:val="21"/>
              </w:rPr>
              <w:t>；</w:t>
            </w:r>
            <w:r>
              <w:rPr>
                <w:kern w:val="0"/>
                <w:szCs w:val="21"/>
              </w:rPr>
              <w:t>无使用饮料瓶存放试剂、样品的现象</w:t>
            </w:r>
            <w:r>
              <w:rPr>
                <w:rFonts w:hint="eastAsia"/>
                <w:kern w:val="0"/>
                <w:szCs w:val="21"/>
              </w:rPr>
              <w:t>；</w:t>
            </w:r>
            <w:r>
              <w:rPr>
                <w:kern w:val="0"/>
                <w:szCs w:val="21"/>
              </w:rPr>
              <w:t>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不使用破损量筒、试管等玻璃器皿</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9.1.1</w:t>
            </w:r>
          </w:p>
        </w:tc>
        <w:tc>
          <w:tcPr>
            <w:tcW w:w="3820" w:type="dxa"/>
            <w:tcMar>
              <w:left w:w="45" w:type="dxa"/>
              <w:right w:w="45" w:type="dxa"/>
            </w:tcMar>
            <w:vAlign w:val="center"/>
          </w:tcPr>
          <w:p>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其中</w:t>
            </w:r>
            <w:r>
              <w:rPr>
                <w:kern w:val="0"/>
                <w:szCs w:val="21"/>
              </w:rPr>
              <w:t>BSL-3/ABSL-3、BSL-4/ABSL-4实验室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pPr>
              <w:widowControl/>
              <w:spacing w:line="300" w:lineRule="exact"/>
              <w:jc w:val="left"/>
              <w:rPr>
                <w:bCs/>
                <w:kern w:val="0"/>
                <w:szCs w:val="21"/>
              </w:rPr>
            </w:pPr>
            <w:r>
              <w:rPr>
                <w:kern w:val="0"/>
                <w:szCs w:val="21"/>
              </w:rPr>
              <w:t>开展未经灭活的高致病性病原微生物（列入一类、二类）相关实验和研究，必须在BSL-3/ABSL-3、BSL-4/ABSL-4实验室中进行</w:t>
            </w:r>
            <w:r>
              <w:rPr>
                <w:rFonts w:hint="eastAsia"/>
                <w:kern w:val="0"/>
                <w:szCs w:val="21"/>
              </w:rPr>
              <w:t>；</w:t>
            </w:r>
            <w:r>
              <w:rPr>
                <w:kern w:val="0"/>
                <w:szCs w:val="21"/>
              </w:rPr>
              <w:t>开展低致病性病原微生物（列入三类、四类），或经灭活的高致病性感染性材料的相关实验和研究，必须在BSL-1/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9.2.1</w:t>
            </w:r>
          </w:p>
        </w:tc>
        <w:tc>
          <w:tcPr>
            <w:tcW w:w="3820" w:type="dxa"/>
            <w:tcMar>
              <w:left w:w="45" w:type="dxa"/>
              <w:right w:w="45" w:type="dxa"/>
            </w:tcMar>
            <w:vAlign w:val="center"/>
          </w:tcPr>
          <w:p>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pPr>
              <w:widowControl/>
              <w:spacing w:line="300" w:lineRule="exact"/>
              <w:jc w:val="left"/>
              <w:rPr>
                <w:bCs/>
                <w:kern w:val="0"/>
                <w:szCs w:val="21"/>
              </w:rPr>
            </w:pPr>
            <w:r>
              <w:rPr>
                <w:kern w:val="0"/>
                <w:szCs w:val="21"/>
              </w:rPr>
              <w:t>BSL-2/ABSL-2及以上安全等级实验室须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储存病原微生物的场所或储柜配备防盗设施，并安装监控报警装置</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pPr>
              <w:widowControl/>
              <w:spacing w:line="300" w:lineRule="exact"/>
              <w:jc w:val="left"/>
              <w:rPr>
                <w:bCs/>
                <w:kern w:val="0"/>
                <w:szCs w:val="21"/>
              </w:rPr>
            </w:pPr>
            <w:r>
              <w:rPr>
                <w:kern w:val="0"/>
                <w:szCs w:val="21"/>
              </w:rPr>
              <w:t>配有</w:t>
            </w:r>
            <w:r>
              <w:rPr>
                <w:rFonts w:hint="eastAsia"/>
                <w:kern w:val="0"/>
                <w:szCs w:val="21"/>
              </w:rPr>
              <w:t>II级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tcMar>
              <w:left w:w="45" w:type="dxa"/>
              <w:right w:w="45" w:type="dxa"/>
            </w:tcMar>
            <w:vAlign w:val="center"/>
          </w:tcPr>
          <w:p>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人员</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pPr>
              <w:widowControl/>
              <w:spacing w:line="300" w:lineRule="exact"/>
              <w:jc w:val="left"/>
              <w:rPr>
                <w:bCs/>
                <w:kern w:val="0"/>
                <w:szCs w:val="21"/>
              </w:rPr>
            </w:pPr>
            <w:r>
              <w:rPr>
                <w:kern w:val="0"/>
                <w:szCs w:val="21"/>
              </w:rPr>
              <w:t>BSL-2 /ABSL-2及以上等级实验室，开展病原微生物的相关实验活动应有风险评估和应急预案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实验操作合规，安全防护措施合理</w:t>
            </w:r>
          </w:p>
        </w:tc>
        <w:tc>
          <w:tcPr>
            <w:tcW w:w="7374" w:type="dxa"/>
            <w:tcMar>
              <w:left w:w="45" w:type="dxa"/>
              <w:right w:w="45" w:type="dxa"/>
            </w:tcMar>
            <w:vAlign w:val="center"/>
          </w:tcPr>
          <w:p>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禁止戴防护手套操作设施设备（包括仪器、冰箱、电脑、电话、开关、门窗</w:t>
            </w:r>
            <w:r>
              <w:rPr>
                <w:rFonts w:hint="eastAsia"/>
                <w:szCs w:val="21"/>
              </w:rPr>
              <w:t>、</w:t>
            </w:r>
            <w:r>
              <w:rPr>
                <w:szCs w:val="21"/>
              </w:rPr>
              <w:t>柜子抽屉等）</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9.7.1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生化废弃物的处置应有专用集中场所</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r>
              <w:rPr>
                <w:rFonts w:hint="eastAsia"/>
                <w:bCs/>
                <w:kern w:val="0"/>
                <w:szCs w:val="21"/>
              </w:rPr>
              <w:t>；</w:t>
            </w:r>
            <w:r>
              <w:rPr>
                <w:kern w:val="0"/>
                <w:szCs w:val="21"/>
              </w:rPr>
              <w:t>学校有生化固废中转站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9.7.2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生化废弃物的处置应满足特殊要求</w:t>
            </w:r>
          </w:p>
        </w:tc>
        <w:tc>
          <w:tcPr>
            <w:tcW w:w="7374" w:type="dxa"/>
            <w:tcMar>
              <w:left w:w="45" w:type="dxa"/>
              <w:right w:w="45" w:type="dxa"/>
            </w:tcMar>
            <w:vAlign w:val="center"/>
          </w:tcPr>
          <w:p>
            <w:pPr>
              <w:widowControl/>
              <w:spacing w:line="300" w:lineRule="exact"/>
              <w:jc w:val="left"/>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辐射安全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实验室资质与人员要求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10.1.1</w:t>
            </w:r>
          </w:p>
        </w:tc>
        <w:tc>
          <w:tcPr>
            <w:tcW w:w="3820" w:type="dxa"/>
            <w:tcMar>
              <w:left w:w="45" w:type="dxa"/>
              <w:right w:w="45" w:type="dxa"/>
            </w:tcMar>
            <w:vAlign w:val="center"/>
          </w:tcPr>
          <w:p>
            <w:pPr>
              <w:widowControl/>
              <w:spacing w:line="300" w:lineRule="exact"/>
              <w:rPr>
                <w:b/>
                <w:kern w:val="0"/>
                <w:szCs w:val="21"/>
              </w:rPr>
            </w:pPr>
            <w:r>
              <w:rPr>
                <w:rFonts w:hint="eastAsia"/>
                <w:szCs w:val="21"/>
              </w:rPr>
              <w:t>涉源</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pPr>
              <w:widowControl/>
              <w:spacing w:line="300" w:lineRule="exact"/>
              <w:jc w:val="left"/>
              <w:rPr>
                <w:bCs/>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rFonts w:hint="eastAsia"/>
                <w:bCs/>
                <w:kern w:val="0"/>
                <w:szCs w:val="21"/>
              </w:rPr>
              <w:t>X射线类</w:t>
            </w:r>
            <w:r>
              <w:rPr>
                <w:bCs/>
                <w:kern w:val="0"/>
                <w:szCs w:val="21"/>
              </w:rPr>
              <w:t>衍射仪</w:t>
            </w:r>
            <w:r>
              <w:rPr>
                <w:rFonts w:hint="eastAsia"/>
                <w:bCs/>
                <w:kern w:val="0"/>
                <w:szCs w:val="21"/>
              </w:rPr>
              <w:t>等3类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渉源人员具</w:t>
            </w:r>
            <w:r>
              <w:rPr>
                <w:kern w:val="0"/>
                <w:szCs w:val="21"/>
              </w:rPr>
              <w:t>有《辐射安全与防护培训合格证书》</w:t>
            </w:r>
            <w:r>
              <w:rPr>
                <w:rFonts w:hint="eastAsia"/>
                <w:kern w:val="0"/>
                <w:szCs w:val="21"/>
              </w:rPr>
              <w:t>（4年</w:t>
            </w:r>
            <w:r>
              <w:rPr>
                <w:kern w:val="0"/>
                <w:szCs w:val="21"/>
              </w:rPr>
              <w:t>复训</w:t>
            </w:r>
            <w:r>
              <w:rPr>
                <w:rFonts w:hint="eastAsia"/>
                <w:kern w:val="0"/>
                <w:szCs w:val="21"/>
              </w:rPr>
              <w:t>1次），</w:t>
            </w: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（2年</w:t>
            </w:r>
            <w:r>
              <w:rPr>
                <w:kern w:val="0"/>
                <w:szCs w:val="21"/>
              </w:rPr>
              <w:t>1次</w:t>
            </w:r>
            <w:r>
              <w:rPr>
                <w:rFonts w:hint="eastAsia"/>
                <w:kern w:val="0"/>
                <w:szCs w:val="21"/>
              </w:rPr>
              <w:t>），有健康档案；</w:t>
            </w: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单位按时进行剂量检测（3个月一次）</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场所设施</w:t>
            </w:r>
            <w:r>
              <w:rPr>
                <w:rFonts w:hint="eastAsia"/>
                <w:b/>
                <w:kern w:val="0"/>
                <w:szCs w:val="21"/>
              </w:rPr>
              <w:t>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pPr>
              <w:widowControl/>
              <w:spacing w:line="300" w:lineRule="exact"/>
              <w:jc w:val="left"/>
              <w:rPr>
                <w:bCs/>
                <w:kern w:val="0"/>
                <w:szCs w:val="21"/>
              </w:rPr>
            </w:pPr>
            <w:r>
              <w:rPr>
                <w:kern w:val="0"/>
                <w:szCs w:val="21"/>
              </w:rPr>
              <w:t>放射源储存库</w:t>
            </w:r>
            <w:r>
              <w:rPr>
                <w:rFonts w:hint="eastAsia"/>
                <w:kern w:val="0"/>
                <w:szCs w:val="21"/>
              </w:rPr>
              <w:t>应设</w:t>
            </w:r>
            <w:r>
              <w:rPr>
                <w:kern w:val="0"/>
                <w:szCs w:val="21"/>
              </w:rPr>
              <w:t>双门双控，并有安全报警系统（与公安部门联网）和视频监控系统</w:t>
            </w:r>
            <w:r>
              <w:rPr>
                <w:rFonts w:hint="eastAsia"/>
                <w:kern w:val="0"/>
                <w:szCs w:val="21"/>
              </w:rPr>
              <w:t>，</w:t>
            </w:r>
            <w:r>
              <w:rPr>
                <w:kern w:val="0"/>
                <w:szCs w:val="21"/>
              </w:rPr>
              <w:t>辐照设施设备</w:t>
            </w:r>
            <w:r>
              <w:rPr>
                <w:rFonts w:hint="eastAsia"/>
                <w:kern w:val="0"/>
                <w:szCs w:val="21"/>
              </w:rPr>
              <w:t>和2类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10.2.</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学校设</w:t>
            </w:r>
            <w:r>
              <w:rPr>
                <w:kern w:val="0"/>
                <w:szCs w:val="21"/>
              </w:rPr>
              <w:t>有专门存放放射性废弃物的容器和</w:t>
            </w:r>
            <w:r>
              <w:rPr>
                <w:rFonts w:hint="eastAsia"/>
                <w:kern w:val="0"/>
                <w:szCs w:val="21"/>
              </w:rPr>
              <w:t>暂存库</w:t>
            </w:r>
          </w:p>
        </w:tc>
        <w:tc>
          <w:tcPr>
            <w:tcW w:w="7374" w:type="dxa"/>
            <w:tcMar>
              <w:left w:w="45" w:type="dxa"/>
              <w:right w:w="45" w:type="dxa"/>
            </w:tcMar>
            <w:vAlign w:val="center"/>
          </w:tcPr>
          <w:p>
            <w:pPr>
              <w:widowControl/>
              <w:spacing w:line="300" w:lineRule="exact"/>
              <w:jc w:val="left"/>
              <w:rPr>
                <w:bCs/>
                <w:kern w:val="0"/>
                <w:szCs w:val="21"/>
              </w:rPr>
            </w:pPr>
            <w:r>
              <w:rPr>
                <w:kern w:val="0"/>
                <w:szCs w:val="21"/>
              </w:rPr>
              <w:t>非密封性放射性实验室有衰减池，</w:t>
            </w:r>
            <w:r>
              <w:rPr>
                <w:szCs w:val="21"/>
              </w:rPr>
              <w:t>或者有非密封性专门回收处置场所</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10.2.4</w:t>
            </w:r>
          </w:p>
        </w:tc>
        <w:tc>
          <w:tcPr>
            <w:tcW w:w="3820" w:type="dxa"/>
            <w:tcMar>
              <w:left w:w="45" w:type="dxa"/>
              <w:right w:w="45" w:type="dxa"/>
            </w:tcMar>
            <w:vAlign w:val="center"/>
          </w:tcPr>
          <w:p>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以及3类</w:t>
            </w:r>
            <w:r>
              <w:rPr>
                <w:kern w:val="0"/>
                <w:szCs w:val="21"/>
              </w:rPr>
              <w:t>以上射线装置变更及时登记</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、5类</w:t>
            </w:r>
            <w:r>
              <w:rPr>
                <w:kern w:val="0"/>
                <w:szCs w:val="21"/>
              </w:rPr>
              <w:t>以上的密封性放射性实验操作</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pPr>
              <w:widowControl/>
              <w:spacing w:line="300" w:lineRule="exact"/>
              <w:jc w:val="left"/>
              <w:rPr>
                <w:kern w:val="0"/>
                <w:szCs w:val="21"/>
              </w:rPr>
            </w:pPr>
            <w:r>
              <w:rPr>
                <w:kern w:val="0"/>
                <w:szCs w:val="21"/>
              </w:rPr>
              <w:t>中、长半衰期核素固液废弃物有符合国家相关规定的处置方案或回收协议，短半衰期核素固液废弃物放置10个半衰期经检测达标后作为普通废物处理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实验场所退役，须按国家相关规定</w:t>
            </w:r>
            <w:r>
              <w:rPr>
                <w:rFonts w:hint="eastAsia"/>
                <w:kern w:val="0"/>
                <w:szCs w:val="21"/>
              </w:rPr>
              <w:t>执行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机电等</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仪器设备</w:t>
            </w:r>
            <w:r>
              <w:rPr>
                <w:b/>
                <w:kern w:val="0"/>
                <w:szCs w:val="21"/>
              </w:rPr>
              <w:t>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pPr>
              <w:widowControl/>
              <w:spacing w:line="300" w:lineRule="exact"/>
              <w:jc w:val="left"/>
              <w:rPr>
                <w:kern w:val="0"/>
                <w:szCs w:val="21"/>
              </w:rPr>
            </w:pPr>
            <w:r>
              <w:rPr>
                <w:kern w:val="0"/>
                <w:szCs w:val="21"/>
              </w:rPr>
              <w:t>建立设备台帐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查看电子或纸质台帐</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pPr>
              <w:widowControl/>
              <w:spacing w:line="300" w:lineRule="exact"/>
              <w:jc w:val="left"/>
              <w:rPr>
                <w:kern w:val="0"/>
                <w:szCs w:val="21"/>
              </w:rPr>
            </w:pPr>
            <w:r>
              <w:rPr>
                <w:rFonts w:hint="eastAsia"/>
                <w:szCs w:val="21"/>
              </w:rPr>
              <w:t>仪器设备接地系统应按规范要求，采用铜质材料，接地电阻不高于0.5欧；电脑、空调、电加热器、饮水机等不随意开机过夜；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11.1.4</w:t>
            </w:r>
          </w:p>
        </w:tc>
        <w:tc>
          <w:tcPr>
            <w:tcW w:w="3820" w:type="dxa"/>
            <w:tcMar>
              <w:left w:w="45" w:type="dxa"/>
              <w:right w:w="45" w:type="dxa"/>
            </w:tcMar>
            <w:vAlign w:val="center"/>
          </w:tcPr>
          <w:p>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机械</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进入高速切削机械操作工作场所，穿好工作服，戴好防护眼镜，扣紧衣袖口，长发学生戴好工作帽，禁止戴手套、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等配饰物，禁穿拖鞋、高跟鞋等；设备运转时严禁用手调整工件；个人</w:t>
            </w:r>
            <w:r>
              <w:rPr>
                <w:kern w:val="0"/>
                <w:szCs w:val="21"/>
              </w:rPr>
              <w:t>防护用品要穿戴齐全，如工作服、</w:t>
            </w:r>
            <w:r>
              <w:rPr>
                <w:rFonts w:hint="eastAsia"/>
                <w:kern w:val="0"/>
                <w:szCs w:val="21"/>
              </w:rPr>
              <w:t>工作帽</w:t>
            </w:r>
            <w:r>
              <w:rPr>
                <w:kern w:val="0"/>
                <w:szCs w:val="21"/>
              </w:rPr>
              <w:t>、工作鞋、防护眼镜等</w:t>
            </w:r>
            <w:r>
              <w:rPr>
                <w:rFonts w:hint="eastAsia"/>
                <w:kern w:val="0"/>
                <w:szCs w:val="21"/>
              </w:rPr>
              <w:t>；</w:t>
            </w:r>
            <w:r>
              <w:rPr>
                <w:kern w:val="0"/>
                <w:szCs w:val="21"/>
              </w:rPr>
              <w:t>操作</w:t>
            </w:r>
            <w:r>
              <w:rPr>
                <w:rFonts w:hint="eastAsia"/>
                <w:kern w:val="0"/>
                <w:szCs w:val="21"/>
              </w:rPr>
              <w:t>冷加工</w:t>
            </w:r>
            <w:r>
              <w:rPr>
                <w:kern w:val="0"/>
                <w:szCs w:val="21"/>
              </w:rPr>
              <w:t>设备必须穿“</w:t>
            </w:r>
            <w:r>
              <w:rPr>
                <w:rFonts w:hint="eastAsia"/>
                <w:kern w:val="0"/>
                <w:szCs w:val="21"/>
              </w:rPr>
              <w:t>三紧式</w:t>
            </w:r>
            <w:r>
              <w:rPr>
                <w:kern w:val="0"/>
                <w:szCs w:val="21"/>
              </w:rPr>
              <w:t>”</w:t>
            </w:r>
            <w:r>
              <w:rPr>
                <w:rFonts w:hint="eastAsia"/>
                <w:kern w:val="0"/>
                <w:szCs w:val="21"/>
              </w:rPr>
              <w:t>工作服</w:t>
            </w:r>
            <w:r>
              <w:rPr>
                <w:kern w:val="0"/>
                <w:szCs w:val="21"/>
              </w:rPr>
              <w:t>，不能留长发（</w:t>
            </w:r>
            <w:r>
              <w:rPr>
                <w:rFonts w:hint="eastAsia"/>
                <w:kern w:val="0"/>
                <w:szCs w:val="21"/>
              </w:rPr>
              <w:t>长发</w:t>
            </w:r>
            <w:r>
              <w:rPr>
                <w:kern w:val="0"/>
                <w:szCs w:val="21"/>
              </w:rPr>
              <w:t>要盘在工作帽内）</w:t>
            </w:r>
            <w:r>
              <w:rPr>
                <w:rFonts w:hint="eastAsia"/>
                <w:kern w:val="0"/>
                <w:szCs w:val="21"/>
              </w:rPr>
              <w:t>，</w:t>
            </w:r>
            <w:r>
              <w:rPr>
                <w:kern w:val="0"/>
                <w:szCs w:val="21"/>
              </w:rPr>
              <w:t>禁止戴手套</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 xml:space="preserve">；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850 </w:t>
            </w:r>
            <w:r>
              <w:rPr>
                <w:rFonts w:hint="eastAsia" w:ascii="宋体" w:hAnsi="宋体" w:cs="宋体"/>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szCs w:val="21"/>
              </w:rPr>
            </w:pPr>
            <w:r>
              <w:rPr>
                <w:rFonts w:hint="eastAsia"/>
                <w:kern w:val="0"/>
                <w:szCs w:val="21"/>
              </w:rPr>
              <w:t>11.2.4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2米以上高空临边、攀登作业，须穿防滑鞋、佩戴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电气</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高度不低于2米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；禁止在充满可燃气体的环境中使用电动工具；电烙铁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强电类实验必须二人以上，操作时应戴绝缘手套；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hint="eastAsia" w:ascii="Arial" w:hAnsi="Arial" w:cs="Arial"/>
                <w:szCs w:val="21"/>
                <w:shd w:val="clear" w:color="auto" w:fill="FFFFFF"/>
              </w:rPr>
              <w:t>禁止</w:t>
            </w:r>
            <w:r>
              <w:rPr>
                <w:rFonts w:ascii="Arial" w:hAnsi="Arial" w:cs="Arial"/>
                <w:szCs w:val="21"/>
                <w:shd w:val="clear" w:color="auto" w:fill="FFFFFF"/>
              </w:rPr>
              <w:t>直视激光束和它的反向光束</w:t>
            </w:r>
            <w:r>
              <w:rPr>
                <w:rFonts w:hint="eastAsia" w:ascii="Arial" w:hAnsi="Arial" w:cs="Arial"/>
                <w:szCs w:val="21"/>
                <w:shd w:val="clear" w:color="auto" w:fill="FFFFFF"/>
              </w:rPr>
              <w:t>，禁止</w:t>
            </w:r>
            <w:r>
              <w:rPr>
                <w:rFonts w:ascii="Arial" w:hAnsi="Arial" w:cs="Arial"/>
                <w:szCs w:val="21"/>
                <w:shd w:val="clear" w:color="auto" w:fill="FFFFFF"/>
              </w:rPr>
              <w:t>对激光器件做任何目视准直操作</w:t>
            </w:r>
            <w:r>
              <w:rPr>
                <w:rFonts w:hint="eastAsia" w:ascii="Arial" w:hAnsi="Arial" w:cs="Arial"/>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pPr>
              <w:widowControl/>
              <w:spacing w:line="300" w:lineRule="exact"/>
              <w:jc w:val="left"/>
              <w:rPr>
                <w:bCs/>
                <w:kern w:val="0"/>
                <w:szCs w:val="21"/>
              </w:rPr>
            </w:pPr>
            <w:r>
              <w:rPr>
                <w:bCs/>
                <w:kern w:val="0"/>
                <w:szCs w:val="21"/>
              </w:rPr>
              <w:t>警告标志</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所有</w:t>
            </w:r>
            <w:r>
              <w:rPr>
                <w:bCs/>
                <w:kern w:val="0"/>
                <w:szCs w:val="21"/>
              </w:rPr>
              <w:t>激光区域内张贴警告标志</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粉尘</w:t>
            </w:r>
            <w:r>
              <w:rPr>
                <w:rFonts w:hint="eastAsia"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大量粉状物质的储存与使用场所，应选用防爆型的电气设备</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粉尘场所应穿防静电棉质衣服，禁止穿化纤材料制作的衣服，工作时必须佩戴防尘口罩和护耳器</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粉尘浓度较高的场所，有加湿装置（喷雾）使湿度在65%以上；配备</w:t>
            </w:r>
            <w:r>
              <w:rPr>
                <w:kern w:val="0"/>
                <w:szCs w:val="21"/>
              </w:rPr>
              <w:t>合适的灭火装置</w:t>
            </w:r>
            <w:r>
              <w:rPr>
                <w:rFonts w:hint="eastAsia"/>
                <w:kern w:val="0"/>
                <w:szCs w:val="21"/>
              </w:rPr>
              <w:t xml:space="preserve"> </w:t>
            </w:r>
          </w:p>
        </w:tc>
        <w:tc>
          <w:tcPr>
            <w:tcW w:w="2829" w:type="dxa"/>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起重类</w:t>
            </w:r>
            <w:r>
              <w:rPr>
                <w:b/>
                <w:kern w:val="0"/>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额定起重量大于等于3吨且提升高度大于等于2米的起重设备须取得《特种设备使用登记证》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起重机械</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操作人员须取得《特种设备作业人员证》，</w:t>
            </w:r>
            <w:r>
              <w:rPr>
                <w:kern w:val="0"/>
                <w:szCs w:val="21"/>
              </w:rPr>
              <w:t>持证上岗</w:t>
            </w:r>
            <w:r>
              <w:rPr>
                <w:rFonts w:hint="eastAsia"/>
                <w:kern w:val="0"/>
                <w:szCs w:val="21"/>
              </w:rPr>
              <w:t>，并每4年复审一次；委托有资质单位进行定期检验，并将定期检验合格证置于特种设备显著位置</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取得《特种设备使用登记证》和《压力容器登记卡》</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0.1兆帕且</w:t>
            </w:r>
            <w:r>
              <w:rPr>
                <w:kern w:val="0"/>
                <w:szCs w:val="21"/>
              </w:rPr>
              <w:t>容积大于</w:t>
            </w:r>
            <w:r>
              <w:rPr>
                <w:rFonts w:hint="eastAsia"/>
                <w:kern w:val="0"/>
                <w:szCs w:val="21"/>
              </w:rPr>
              <w:t>30公升的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取得《特种设备使用登记证》和《压力容器登记卡》；设备铭牌上标明为简单压力容器不需办理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压力容器</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pPr>
              <w:widowControl/>
              <w:spacing w:line="300" w:lineRule="exact"/>
              <w:jc w:val="left"/>
              <w:rPr>
                <w:kern w:val="0"/>
                <w:szCs w:val="21"/>
              </w:rPr>
            </w:pPr>
            <w:r>
              <w:rPr>
                <w:kern w:val="0"/>
                <w:szCs w:val="21"/>
              </w:rPr>
              <w:t>操作人员持证上岗</w:t>
            </w:r>
            <w:r>
              <w:rPr>
                <w:rFonts w:hint="eastAsia"/>
                <w:kern w:val="0"/>
                <w:szCs w:val="21"/>
              </w:rPr>
              <w:t>，取得《特种设备作业人员证》，并每4年复审一次；委托有资质单位进行定期检验，并将定期检验合格证置于特种设备显著位置；安全阀或压力表等附件需委托有资质单位定期校验或检定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大型实验气体罐外表涂色、腐蚀、变形、磨损、裂纹，附件是否齐全、完好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pPr>
              <w:widowControl/>
              <w:spacing w:line="300" w:lineRule="exact"/>
              <w:jc w:val="left"/>
              <w:rPr>
                <w:kern w:val="0"/>
                <w:szCs w:val="21"/>
              </w:rPr>
            </w:pP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证书在有效期内</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加热及制冷装置</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为防爆冰箱或经过防爆改造的冰箱，冰箱门上应注明</w:t>
            </w:r>
            <w:r>
              <w:rPr>
                <w:rFonts w:hint="eastAsia"/>
                <w:kern w:val="0"/>
                <w:szCs w:val="21"/>
              </w:rPr>
              <w:t>是否</w:t>
            </w:r>
            <w:r>
              <w:rPr>
                <w:kern w:val="0"/>
                <w:szCs w:val="21"/>
              </w:rPr>
              <w:t>为防爆冰箱</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实验室冰箱中不放置食品</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超期服役（一般使用期限控制为10年）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r>
              <w:rPr>
                <w:rFonts w:hint="eastAsia"/>
                <w:kern w:val="0"/>
                <w:szCs w:val="21"/>
              </w:rPr>
              <w:t>；</w:t>
            </w:r>
            <w:r>
              <w:rPr>
                <w:kern w:val="0"/>
                <w:szCs w:val="21"/>
              </w:rPr>
              <w:t>烘箱、电阻炉</w:t>
            </w:r>
            <w:r>
              <w:rPr>
                <w:rFonts w:hint="eastAsia"/>
                <w:kern w:val="0"/>
                <w:szCs w:val="21"/>
              </w:rPr>
              <w:t>不</w:t>
            </w:r>
            <w:r>
              <w:rPr>
                <w:kern w:val="0"/>
                <w:szCs w:val="21"/>
              </w:rPr>
              <w:t>超期服役（一般使用期限控制为12年）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使用烘箱、电阻炉等加热设备时有人值守（或10-15分钟检查一次）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明火电炉、电吹风、电热枪等用毕，及时拔除电源插头</w:t>
            </w:r>
            <w:r>
              <w:rPr>
                <w:rFonts w:hint="eastAsia"/>
                <w:kern w:val="0"/>
                <w:szCs w:val="21"/>
              </w:rPr>
              <w:t>；不能用纸质、木质等材料自制红外灯烘箱</w:t>
            </w:r>
          </w:p>
        </w:tc>
        <w:tc>
          <w:tcPr>
            <w:tcW w:w="2829" w:type="dxa"/>
            <w:tcMar>
              <w:left w:w="45" w:type="dxa"/>
              <w:right w:w="45" w:type="dxa"/>
            </w:tcMar>
            <w:vAlign w:val="center"/>
          </w:tcPr>
          <w:p>
            <w:pPr>
              <w:widowControl/>
              <w:spacing w:line="300" w:lineRule="exact"/>
              <w:jc w:val="left"/>
              <w:rPr>
                <w:kern w:val="0"/>
                <w:szCs w:val="21"/>
              </w:rPr>
            </w:pPr>
          </w:p>
        </w:tc>
      </w:tr>
    </w:tbl>
    <w:p>
      <w:pPr>
        <w:rPr>
          <w:rFonts w:ascii="黑体" w:hAnsi="黑体" w:eastAsia="黑体" w:cs="宋体"/>
          <w:b/>
          <w:bCs/>
          <w:kern w:val="0"/>
          <w:sz w:val="32"/>
          <w:szCs w:val="36"/>
        </w:rPr>
        <w:sectPr>
          <w:pgSz w:w="16838" w:h="11906" w:orient="landscape"/>
          <w:pgMar w:top="1531" w:right="2098" w:bottom="1531" w:left="1985" w:header="851" w:footer="992" w:gutter="0"/>
          <w:cols w:space="425" w:num="1"/>
          <w:docGrid w:type="lines" w:linePitch="435" w:charSpace="0"/>
        </w:sectPr>
      </w:pPr>
    </w:p>
    <w:p>
      <w:pPr>
        <w:rPr>
          <w:rFonts w:ascii="宋体" w:hAnsi="宋体" w:cs="宋体"/>
          <w:bCs/>
          <w:kern w:val="0"/>
          <w:sz w:val="28"/>
          <w:szCs w:val="36"/>
        </w:rPr>
      </w:pPr>
      <w:r>
        <w:rPr>
          <w:rFonts w:hint="eastAsia" w:ascii="黑体" w:hAnsi="黑体" w:eastAsia="黑体" w:cs="宋体"/>
          <w:bCs/>
          <w:kern w:val="0"/>
          <w:sz w:val="32"/>
          <w:szCs w:val="36"/>
        </w:rPr>
        <w:t>附件2</w:t>
      </w:r>
      <w:r>
        <w:rPr>
          <w:rFonts w:ascii="黑体" w:hAnsi="黑体" w:eastAsia="黑体" w:cs="宋体"/>
          <w:bCs/>
          <w:kern w:val="0"/>
          <w:sz w:val="32"/>
          <w:szCs w:val="36"/>
        </w:rPr>
        <w:t xml:space="preserve"> </w:t>
      </w:r>
      <w:r>
        <w:rPr>
          <w:rFonts w:ascii="宋体" w:hAnsi="宋体" w:cs="宋体"/>
          <w:bCs/>
          <w:kern w:val="0"/>
          <w:sz w:val="28"/>
          <w:szCs w:val="36"/>
        </w:rPr>
        <w:t xml:space="preserve">                 </w:t>
      </w:r>
    </w:p>
    <w:p>
      <w:pPr>
        <w:rPr>
          <w:rFonts w:ascii="宋体" w:hAnsi="宋体" w:cs="宋体"/>
          <w:b/>
          <w:bCs/>
          <w:kern w:val="0"/>
          <w:sz w:val="28"/>
          <w:szCs w:val="36"/>
        </w:rPr>
      </w:pPr>
    </w:p>
    <w:p>
      <w:pPr>
        <w:rPr>
          <w:rFonts w:ascii="宋体" w:hAnsi="宋体" w:cs="宋体"/>
          <w:b/>
          <w:bCs/>
          <w:kern w:val="0"/>
          <w:sz w:val="28"/>
          <w:szCs w:val="36"/>
        </w:rPr>
      </w:pPr>
    </w:p>
    <w:p>
      <w:pPr>
        <w:jc w:val="center"/>
        <w:rPr>
          <w:rFonts w:ascii="方正小标宋简体" w:eastAsia="方正小标宋简体"/>
          <w:sz w:val="56"/>
          <w:szCs w:val="44"/>
        </w:rPr>
      </w:pPr>
      <w:r>
        <w:rPr>
          <w:rFonts w:hint="eastAsia" w:ascii="方正小标宋简体" w:eastAsia="方正小标宋简体"/>
          <w:sz w:val="56"/>
          <w:szCs w:val="44"/>
        </w:rPr>
        <w:t>XX学院实验室安全</w:t>
      </w:r>
    </w:p>
    <w:p>
      <w:pPr>
        <w:jc w:val="center"/>
        <w:rPr>
          <w:rFonts w:ascii="方正小标宋简体" w:eastAsia="方正小标宋简体"/>
          <w:sz w:val="56"/>
          <w:szCs w:val="44"/>
        </w:rPr>
      </w:pPr>
      <w:r>
        <w:rPr>
          <w:rFonts w:hint="eastAsia" w:ascii="方正小标宋简体" w:eastAsia="方正小标宋简体"/>
          <w:sz w:val="56"/>
          <w:szCs w:val="44"/>
        </w:rPr>
        <w:t>自查自纠报告</w:t>
      </w:r>
    </w:p>
    <w:p>
      <w:pPr>
        <w:spacing w:before="120" w:line="440" w:lineRule="exact"/>
        <w:jc w:val="center"/>
        <w:rPr>
          <w:rFonts w:eastAsia="楷体_GB2312"/>
          <w:spacing w:val="16"/>
        </w:rPr>
      </w:pPr>
    </w:p>
    <w:p>
      <w:pPr>
        <w:spacing w:before="120" w:line="440" w:lineRule="exact"/>
        <w:jc w:val="center"/>
        <w:rPr>
          <w:rFonts w:eastAsia="楷体_GB2312"/>
          <w:spacing w:val="16"/>
        </w:rPr>
      </w:pPr>
    </w:p>
    <w:p>
      <w:pPr>
        <w:spacing w:before="120" w:line="400" w:lineRule="exact"/>
        <w:jc w:val="center"/>
        <w:rPr>
          <w:spacing w:val="16"/>
          <w:sz w:val="32"/>
        </w:rPr>
      </w:pPr>
    </w:p>
    <w:p>
      <w:pPr>
        <w:adjustRightInd w:val="0"/>
        <w:snapToGrid w:val="0"/>
        <w:spacing w:line="920" w:lineRule="exact"/>
        <w:ind w:firstLine="1224" w:firstLineChars="300"/>
        <w:rPr>
          <w:rFonts w:eastAsia="黑体"/>
          <w:spacing w:val="4"/>
          <w:sz w:val="40"/>
          <w:u w:val="single"/>
        </w:rPr>
      </w:pPr>
      <w:r>
        <w:rPr>
          <w:rFonts w:hint="eastAsia" w:eastAsia="黑体"/>
          <w:spacing w:val="4"/>
          <w:sz w:val="40"/>
        </w:rPr>
        <w:t>学院名称</w:t>
      </w:r>
      <w:r>
        <w:rPr>
          <w:rFonts w:eastAsia="黑体"/>
          <w:spacing w:val="4"/>
          <w:sz w:val="40"/>
        </w:rPr>
        <w:t>：</w:t>
      </w:r>
      <w:r>
        <w:rPr>
          <w:rFonts w:hint="eastAsia" w:eastAsia="黑体"/>
          <w:spacing w:val="4"/>
          <w:sz w:val="40"/>
          <w:u w:val="single"/>
        </w:rPr>
        <w:t xml:space="preserve"> </w:t>
      </w:r>
      <w:r>
        <w:rPr>
          <w:rFonts w:eastAsia="黑体"/>
          <w:spacing w:val="4"/>
          <w:sz w:val="40"/>
          <w:u w:val="single"/>
        </w:rPr>
        <w:t xml:space="preserve">     </w:t>
      </w:r>
      <w:r>
        <w:rPr>
          <w:rFonts w:hint="eastAsia" w:eastAsia="黑体"/>
          <w:spacing w:val="4"/>
          <w:sz w:val="40"/>
          <w:u w:val="single"/>
        </w:rPr>
        <w:t xml:space="preserve">      </w:t>
      </w:r>
      <w:r>
        <w:rPr>
          <w:rFonts w:eastAsia="黑体"/>
          <w:spacing w:val="4"/>
          <w:sz w:val="40"/>
          <w:u w:val="single"/>
        </w:rPr>
        <w:t xml:space="preserve">    </w:t>
      </w:r>
      <w:r>
        <w:rPr>
          <w:rFonts w:hint="eastAsia" w:eastAsia="黑体"/>
          <w:spacing w:val="4"/>
          <w:sz w:val="40"/>
          <w:u w:val="single"/>
        </w:rPr>
        <w:t xml:space="preserve">  </w:t>
      </w:r>
      <w:r>
        <w:rPr>
          <w:rFonts w:eastAsia="黑体"/>
          <w:spacing w:val="4"/>
          <w:sz w:val="40"/>
          <w:u w:val="single"/>
        </w:rPr>
        <w:t xml:space="preserve"> </w:t>
      </w:r>
    </w:p>
    <w:p>
      <w:pPr>
        <w:adjustRightInd w:val="0"/>
        <w:snapToGrid w:val="0"/>
        <w:spacing w:line="920" w:lineRule="exact"/>
        <w:ind w:firstLine="1200" w:firstLineChars="200"/>
        <w:rPr>
          <w:rFonts w:eastAsia="黑体"/>
          <w:spacing w:val="4"/>
          <w:sz w:val="40"/>
          <w:u w:val="single"/>
        </w:rPr>
      </w:pPr>
      <w:r>
        <w:rPr>
          <w:rFonts w:eastAsia="黑体"/>
          <w:spacing w:val="100"/>
          <w:kern w:val="0"/>
          <w:sz w:val="40"/>
          <w:fitText w:val="1600" w:id="0"/>
        </w:rPr>
        <w:t>编写</w:t>
      </w:r>
      <w:r>
        <w:rPr>
          <w:rFonts w:eastAsia="黑体"/>
          <w:kern w:val="0"/>
          <w:sz w:val="40"/>
          <w:fitText w:val="1600" w:id="0"/>
        </w:rPr>
        <w:t>人</w:t>
      </w:r>
      <w:r>
        <w:rPr>
          <w:rFonts w:eastAsia="黑体"/>
          <w:spacing w:val="4"/>
          <w:sz w:val="40"/>
        </w:rPr>
        <w:t>：</w:t>
      </w:r>
      <w:r>
        <w:rPr>
          <w:rFonts w:hint="eastAsia" w:eastAsia="黑体"/>
          <w:spacing w:val="4"/>
          <w:sz w:val="40"/>
          <w:u w:val="single"/>
        </w:rPr>
        <w:t xml:space="preserve"> </w:t>
      </w:r>
      <w:r>
        <w:rPr>
          <w:rFonts w:eastAsia="黑体"/>
          <w:spacing w:val="4"/>
          <w:sz w:val="40"/>
          <w:u w:val="single"/>
        </w:rPr>
        <w:t xml:space="preserve">      </w:t>
      </w:r>
      <w:r>
        <w:rPr>
          <w:rFonts w:hint="eastAsia" w:eastAsia="黑体"/>
          <w:spacing w:val="4"/>
          <w:sz w:val="40"/>
          <w:u w:val="single"/>
        </w:rPr>
        <w:t xml:space="preserve"> </w:t>
      </w:r>
      <w:r>
        <w:rPr>
          <w:rFonts w:eastAsia="黑体"/>
          <w:spacing w:val="4"/>
          <w:sz w:val="40"/>
          <w:u w:val="single"/>
        </w:rPr>
        <w:t xml:space="preserve">  </w:t>
      </w:r>
      <w:r>
        <w:rPr>
          <w:rFonts w:hint="eastAsia" w:eastAsia="黑体"/>
          <w:spacing w:val="4"/>
          <w:sz w:val="40"/>
          <w:u w:val="single"/>
        </w:rPr>
        <w:t xml:space="preserve">      </w:t>
      </w:r>
      <w:r>
        <w:rPr>
          <w:rFonts w:eastAsia="黑体"/>
          <w:spacing w:val="4"/>
          <w:sz w:val="40"/>
          <w:u w:val="single"/>
        </w:rPr>
        <w:t xml:space="preserve">  </w:t>
      </w:r>
      <w:r>
        <w:rPr>
          <w:rFonts w:hint="eastAsia" w:eastAsia="黑体"/>
          <w:spacing w:val="4"/>
          <w:sz w:val="40"/>
          <w:u w:val="single"/>
        </w:rPr>
        <w:t xml:space="preserve"> </w:t>
      </w:r>
    </w:p>
    <w:p>
      <w:pPr>
        <w:adjustRightInd w:val="0"/>
        <w:snapToGrid w:val="0"/>
        <w:spacing w:line="920" w:lineRule="exact"/>
        <w:ind w:firstLine="1200" w:firstLineChars="200"/>
        <w:rPr>
          <w:rFonts w:eastAsia="黑体"/>
          <w:spacing w:val="4"/>
          <w:sz w:val="40"/>
          <w:u w:val="single"/>
        </w:rPr>
      </w:pPr>
      <w:r>
        <w:rPr>
          <w:rFonts w:hint="eastAsia" w:eastAsia="黑体"/>
          <w:spacing w:val="100"/>
          <w:kern w:val="0"/>
          <w:sz w:val="40"/>
          <w:fitText w:val="1600" w:id="1"/>
        </w:rPr>
        <w:t>审核</w:t>
      </w:r>
      <w:r>
        <w:rPr>
          <w:rFonts w:hint="eastAsia" w:eastAsia="黑体"/>
          <w:kern w:val="0"/>
          <w:sz w:val="40"/>
          <w:fitText w:val="1600" w:id="1"/>
        </w:rPr>
        <w:t>人</w:t>
      </w:r>
      <w:r>
        <w:rPr>
          <w:rFonts w:eastAsia="黑体"/>
          <w:spacing w:val="4"/>
          <w:sz w:val="40"/>
        </w:rPr>
        <w:t>：</w:t>
      </w:r>
      <w:r>
        <w:rPr>
          <w:rFonts w:hint="eastAsia" w:eastAsia="黑体"/>
          <w:spacing w:val="4"/>
          <w:sz w:val="40"/>
          <w:u w:val="single"/>
        </w:rPr>
        <w:t xml:space="preserve"> </w:t>
      </w:r>
      <w:r>
        <w:rPr>
          <w:rFonts w:eastAsia="黑体"/>
          <w:spacing w:val="4"/>
          <w:sz w:val="40"/>
          <w:u w:val="single"/>
        </w:rPr>
        <w:t xml:space="preserve">     </w:t>
      </w:r>
      <w:r>
        <w:rPr>
          <w:rFonts w:hint="eastAsia" w:eastAsia="黑体"/>
          <w:spacing w:val="4"/>
          <w:sz w:val="40"/>
          <w:u w:val="single"/>
        </w:rPr>
        <w:t xml:space="preserve">    </w:t>
      </w:r>
      <w:r>
        <w:rPr>
          <w:rFonts w:eastAsia="黑体"/>
          <w:spacing w:val="4"/>
          <w:sz w:val="40"/>
          <w:u w:val="single"/>
        </w:rPr>
        <w:t xml:space="preserve">   </w:t>
      </w:r>
      <w:r>
        <w:rPr>
          <w:rFonts w:hint="eastAsia" w:eastAsia="黑体"/>
          <w:spacing w:val="4"/>
          <w:sz w:val="40"/>
          <w:u w:val="single"/>
        </w:rPr>
        <w:t xml:space="preserve">     </w:t>
      </w:r>
      <w:r>
        <w:rPr>
          <w:rFonts w:eastAsia="黑体"/>
          <w:spacing w:val="4"/>
          <w:sz w:val="40"/>
          <w:u w:val="single"/>
        </w:rPr>
        <w:t xml:space="preserve"> </w:t>
      </w:r>
    </w:p>
    <w:p>
      <w:pPr>
        <w:adjustRightInd w:val="0"/>
        <w:snapToGrid w:val="0"/>
        <w:spacing w:line="920" w:lineRule="exact"/>
        <w:ind w:firstLine="1200" w:firstLineChars="300"/>
        <w:rPr>
          <w:rFonts w:eastAsia="黑体"/>
          <w:kern w:val="0"/>
          <w:sz w:val="40"/>
        </w:rPr>
      </w:pPr>
      <w:r>
        <w:rPr>
          <w:rFonts w:hint="eastAsia" w:eastAsia="黑体"/>
          <w:kern w:val="0"/>
          <w:sz w:val="40"/>
        </w:rPr>
        <w:t>学院</w:t>
      </w:r>
      <w:r>
        <w:rPr>
          <w:rFonts w:eastAsia="黑体"/>
          <w:kern w:val="0"/>
          <w:sz w:val="40"/>
        </w:rPr>
        <w:t>领导</w:t>
      </w:r>
      <w:r>
        <w:rPr>
          <w:rFonts w:hint="eastAsia" w:eastAsia="黑体"/>
          <w:kern w:val="0"/>
          <w:sz w:val="40"/>
        </w:rPr>
        <w:t>：</w:t>
      </w:r>
      <w:r>
        <w:rPr>
          <w:rFonts w:hint="eastAsia" w:eastAsia="黑体"/>
          <w:kern w:val="0"/>
          <w:sz w:val="40"/>
          <w:u w:val="single"/>
        </w:rPr>
        <w:t xml:space="preserve"> </w:t>
      </w:r>
      <w:r>
        <w:rPr>
          <w:rFonts w:eastAsia="黑体"/>
          <w:kern w:val="0"/>
          <w:sz w:val="40"/>
          <w:u w:val="single"/>
        </w:rPr>
        <w:t xml:space="preserve">                </w:t>
      </w:r>
      <w:r>
        <w:rPr>
          <w:rFonts w:hint="eastAsia" w:eastAsia="黑体"/>
          <w:kern w:val="0"/>
          <w:sz w:val="40"/>
          <w:u w:val="single"/>
        </w:rPr>
        <w:t xml:space="preserve">  </w:t>
      </w:r>
      <w:r>
        <w:rPr>
          <w:rFonts w:eastAsia="黑体"/>
          <w:kern w:val="0"/>
          <w:sz w:val="40"/>
          <w:u w:val="single"/>
        </w:rPr>
        <w:t xml:space="preserve"> </w:t>
      </w:r>
    </w:p>
    <w:p>
      <w:pPr>
        <w:adjustRightInd w:val="0"/>
        <w:snapToGrid w:val="0"/>
        <w:spacing w:line="920" w:lineRule="exact"/>
        <w:ind w:firstLine="1200" w:firstLineChars="300"/>
        <w:rPr>
          <w:rFonts w:eastAsia="黑体"/>
          <w:kern w:val="0"/>
          <w:sz w:val="40"/>
        </w:rPr>
      </w:pPr>
      <w:r>
        <w:rPr>
          <w:rFonts w:eastAsia="黑体"/>
          <w:kern w:val="0"/>
          <w:sz w:val="40"/>
        </w:rPr>
        <w:t>签</w:t>
      </w:r>
      <w:r>
        <w:rPr>
          <w:rFonts w:hint="eastAsia" w:eastAsia="黑体"/>
          <w:kern w:val="0"/>
          <w:sz w:val="40"/>
        </w:rPr>
        <w:t xml:space="preserve"> </w:t>
      </w:r>
      <w:r>
        <w:rPr>
          <w:rFonts w:eastAsia="黑体"/>
          <w:kern w:val="0"/>
          <w:sz w:val="40"/>
        </w:rPr>
        <w:t>发</w:t>
      </w:r>
      <w:r>
        <w:rPr>
          <w:rFonts w:hint="eastAsia" w:eastAsia="黑体"/>
          <w:kern w:val="0"/>
          <w:sz w:val="40"/>
        </w:rPr>
        <w:t xml:space="preserve"> </w:t>
      </w:r>
      <w:r>
        <w:rPr>
          <w:rFonts w:eastAsia="黑体"/>
          <w:kern w:val="0"/>
          <w:sz w:val="40"/>
        </w:rPr>
        <w:t>人</w:t>
      </w:r>
      <w:r>
        <w:rPr>
          <w:rFonts w:hint="eastAsia" w:eastAsia="黑体"/>
          <w:kern w:val="0"/>
          <w:sz w:val="40"/>
        </w:rPr>
        <w:t>：</w:t>
      </w:r>
      <w:r>
        <w:rPr>
          <w:rFonts w:hint="eastAsia" w:eastAsia="黑体"/>
          <w:kern w:val="0"/>
          <w:sz w:val="40"/>
          <w:u w:val="single"/>
        </w:rPr>
        <w:t xml:space="preserve"> </w:t>
      </w:r>
      <w:r>
        <w:rPr>
          <w:rFonts w:eastAsia="黑体"/>
          <w:kern w:val="0"/>
          <w:sz w:val="40"/>
          <w:u w:val="single"/>
        </w:rPr>
        <w:t xml:space="preserve">                   </w:t>
      </w:r>
    </w:p>
    <w:p>
      <w:pPr>
        <w:adjustRightInd w:val="0"/>
        <w:snapToGrid w:val="0"/>
        <w:spacing w:line="920" w:lineRule="exact"/>
        <w:ind w:firstLine="2000" w:firstLineChars="500"/>
        <w:rPr>
          <w:rFonts w:eastAsia="黑体"/>
          <w:kern w:val="0"/>
          <w:sz w:val="40"/>
        </w:rPr>
      </w:pPr>
    </w:p>
    <w:p>
      <w:pPr>
        <w:spacing w:line="700" w:lineRule="exact"/>
        <w:jc w:val="center"/>
        <w:rPr>
          <w:rFonts w:eastAsia="华文新魏"/>
          <w:spacing w:val="12"/>
          <w:sz w:val="52"/>
          <w:szCs w:val="44"/>
        </w:rPr>
      </w:pPr>
    </w:p>
    <w:p>
      <w:pPr>
        <w:spacing w:line="700" w:lineRule="exact"/>
        <w:jc w:val="center"/>
        <w:rPr>
          <w:rFonts w:eastAsia="黑体"/>
          <w:spacing w:val="4"/>
          <w:sz w:val="36"/>
          <w:szCs w:val="32"/>
        </w:rPr>
      </w:pPr>
    </w:p>
    <w:p>
      <w:pPr>
        <w:spacing w:line="700" w:lineRule="exact"/>
        <w:jc w:val="center"/>
        <w:rPr>
          <w:rFonts w:eastAsia="黑体"/>
          <w:spacing w:val="4"/>
          <w:sz w:val="36"/>
          <w:szCs w:val="32"/>
        </w:rPr>
      </w:pPr>
      <w:r>
        <w:rPr>
          <w:rFonts w:eastAsia="黑体"/>
          <w:spacing w:val="4"/>
          <w:sz w:val="36"/>
          <w:szCs w:val="32"/>
        </w:rPr>
        <w:t>年</w:t>
      </w:r>
      <w:r>
        <w:rPr>
          <w:rFonts w:hint="eastAsia" w:eastAsia="黑体"/>
          <w:spacing w:val="4"/>
          <w:sz w:val="36"/>
          <w:szCs w:val="32"/>
        </w:rPr>
        <w:t xml:space="preserve">  </w:t>
      </w:r>
      <w:r>
        <w:rPr>
          <w:rFonts w:eastAsia="黑体"/>
          <w:spacing w:val="4"/>
          <w:sz w:val="36"/>
          <w:szCs w:val="32"/>
        </w:rPr>
        <w:t xml:space="preserve"> 月</w:t>
      </w:r>
      <w:r>
        <w:rPr>
          <w:rFonts w:hint="eastAsia" w:eastAsia="黑体"/>
          <w:spacing w:val="4"/>
          <w:sz w:val="36"/>
          <w:szCs w:val="32"/>
        </w:rPr>
        <w:t xml:space="preserve"> </w:t>
      </w:r>
      <w:r>
        <w:rPr>
          <w:rFonts w:eastAsia="黑体"/>
          <w:spacing w:val="4"/>
          <w:sz w:val="36"/>
          <w:szCs w:val="32"/>
        </w:rPr>
        <w:t xml:space="preserve">  日</w:t>
      </w:r>
    </w:p>
    <w:p>
      <w:pPr>
        <w:widowControl/>
        <w:jc w:val="center"/>
        <w:rPr>
          <w:rFonts w:ascii="方正小标宋简体" w:eastAsia="方正小标宋简体"/>
          <w:sz w:val="44"/>
        </w:rPr>
        <w:sectPr>
          <w:pgSz w:w="11906" w:h="16838"/>
          <w:pgMar w:top="1531" w:right="1134" w:bottom="1588" w:left="1474" w:header="851" w:footer="992" w:gutter="0"/>
          <w:cols w:space="720" w:num="1"/>
          <w:docGrid w:type="lines" w:linePitch="312" w:charSpace="0"/>
        </w:sectPr>
      </w:pPr>
    </w:p>
    <w:p>
      <w:pPr>
        <w:widowControl/>
        <w:jc w:val="center"/>
        <w:rPr>
          <w:rFonts w:ascii="方正小标宋简体" w:eastAsia="方正小标宋简体"/>
          <w:sz w:val="44"/>
        </w:rPr>
      </w:pPr>
    </w:p>
    <w:p>
      <w:pPr>
        <w:widowControl/>
        <w:jc w:val="center"/>
        <w:rPr>
          <w:rFonts w:ascii="方正小标宋简体" w:eastAsia="方正小标宋简体"/>
          <w:sz w:val="44"/>
        </w:rPr>
      </w:pPr>
      <w:r>
        <w:rPr>
          <w:rFonts w:hint="eastAsia" w:ascii="方正小标宋简体" w:eastAsia="方正小标宋简体"/>
          <w:sz w:val="44"/>
        </w:rPr>
        <w:t>报告提纲</w:t>
      </w:r>
    </w:p>
    <w:p>
      <w:pPr>
        <w:widowControl/>
        <w:jc w:val="center"/>
      </w:pPr>
    </w:p>
    <w:p>
      <w:pPr>
        <w:widowControl/>
        <w:jc w:val="center"/>
      </w:pPr>
    </w:p>
    <w:p>
      <w:pPr>
        <w:widowControl/>
        <w:jc w:val="center"/>
      </w:pPr>
    </w:p>
    <w:p>
      <w:pPr>
        <w:widowControl/>
        <w:spacing w:line="560" w:lineRule="exact"/>
        <w:ind w:firstLine="640" w:firstLineChars="200"/>
        <w:jc w:val="left"/>
        <w:rPr>
          <w:rFonts w:ascii="仿宋" w:hAnsi="仿宋" w:eastAsia="仿宋" w:cs="仿宋"/>
          <w:sz w:val="32"/>
        </w:rPr>
      </w:pPr>
      <w:r>
        <w:rPr>
          <w:rFonts w:hint="eastAsia" w:ascii="仿宋" w:hAnsi="仿宋" w:eastAsia="仿宋" w:cs="仿宋"/>
          <w:sz w:val="32"/>
        </w:rPr>
        <w:t>一、学院及实验室安全工作概况</w:t>
      </w:r>
    </w:p>
    <w:p>
      <w:pPr>
        <w:widowControl/>
        <w:spacing w:line="560" w:lineRule="exact"/>
        <w:ind w:firstLine="640" w:firstLineChars="200"/>
        <w:jc w:val="left"/>
        <w:rPr>
          <w:rFonts w:ascii="仿宋" w:hAnsi="仿宋" w:eastAsia="仿宋" w:cs="仿宋"/>
          <w:sz w:val="32"/>
        </w:rPr>
      </w:pPr>
      <w:r>
        <w:rPr>
          <w:rFonts w:hint="eastAsia" w:ascii="仿宋" w:hAnsi="仿宋" w:eastAsia="仿宋" w:cs="仿宋"/>
          <w:sz w:val="32"/>
        </w:rPr>
        <w:t>1.1学院实验室概况</w:t>
      </w:r>
    </w:p>
    <w:p>
      <w:pPr>
        <w:widowControl/>
        <w:spacing w:line="560" w:lineRule="exact"/>
        <w:ind w:firstLine="640" w:firstLineChars="200"/>
        <w:jc w:val="left"/>
        <w:rPr>
          <w:rFonts w:ascii="仿宋" w:hAnsi="仿宋" w:eastAsia="仿宋" w:cs="仿宋"/>
          <w:sz w:val="32"/>
        </w:rPr>
      </w:pPr>
      <w:r>
        <w:rPr>
          <w:rFonts w:hint="eastAsia" w:ascii="仿宋" w:hAnsi="仿宋" w:eastAsia="仿宋" w:cs="仿宋"/>
          <w:sz w:val="32"/>
        </w:rPr>
        <w:t>1.2实验室安全管理组织架构与责任体系</w:t>
      </w:r>
    </w:p>
    <w:p>
      <w:pPr>
        <w:widowControl/>
        <w:spacing w:line="560" w:lineRule="exact"/>
        <w:ind w:firstLine="640" w:firstLineChars="200"/>
        <w:jc w:val="left"/>
        <w:rPr>
          <w:rFonts w:ascii="仿宋" w:hAnsi="仿宋" w:eastAsia="仿宋" w:cs="仿宋"/>
          <w:sz w:val="32"/>
        </w:rPr>
      </w:pPr>
      <w:r>
        <w:rPr>
          <w:rFonts w:hint="eastAsia" w:ascii="仿宋" w:hAnsi="仿宋" w:eastAsia="仿宋" w:cs="仿宋"/>
          <w:sz w:val="32"/>
        </w:rPr>
        <w:t>1.3实验室安全制度建设</w:t>
      </w:r>
    </w:p>
    <w:p>
      <w:pPr>
        <w:widowControl/>
        <w:spacing w:line="560" w:lineRule="exact"/>
        <w:ind w:firstLine="640" w:firstLineChars="200"/>
        <w:jc w:val="left"/>
        <w:rPr>
          <w:rFonts w:ascii="仿宋" w:hAnsi="仿宋" w:eastAsia="仿宋" w:cs="仿宋"/>
          <w:sz w:val="32"/>
        </w:rPr>
      </w:pPr>
      <w:r>
        <w:rPr>
          <w:rFonts w:hint="eastAsia" w:ascii="仿宋" w:hAnsi="仿宋" w:eastAsia="仿宋" w:cs="仿宋"/>
          <w:sz w:val="32"/>
        </w:rPr>
        <w:t>1.4实验室安全教育</w:t>
      </w:r>
    </w:p>
    <w:p>
      <w:pPr>
        <w:widowControl/>
        <w:spacing w:line="560" w:lineRule="exact"/>
        <w:ind w:firstLine="640" w:firstLineChars="200"/>
        <w:jc w:val="left"/>
        <w:rPr>
          <w:rFonts w:ascii="仿宋" w:hAnsi="仿宋" w:eastAsia="仿宋" w:cs="仿宋"/>
          <w:sz w:val="32"/>
        </w:rPr>
      </w:pPr>
      <w:r>
        <w:rPr>
          <w:rFonts w:hint="eastAsia" w:ascii="仿宋" w:hAnsi="仿宋" w:eastAsia="仿宋" w:cs="仿宋"/>
          <w:sz w:val="32"/>
        </w:rPr>
        <w:t>1.5实验室安全常规检查与隐患整改</w:t>
      </w:r>
    </w:p>
    <w:p>
      <w:pPr>
        <w:widowControl/>
        <w:spacing w:line="560" w:lineRule="exact"/>
        <w:ind w:firstLine="640" w:firstLineChars="200"/>
        <w:jc w:val="left"/>
        <w:rPr>
          <w:rFonts w:ascii="仿宋" w:hAnsi="仿宋" w:eastAsia="仿宋" w:cs="仿宋"/>
          <w:sz w:val="32"/>
        </w:rPr>
      </w:pPr>
    </w:p>
    <w:p>
      <w:pPr>
        <w:widowControl/>
        <w:spacing w:line="560" w:lineRule="exact"/>
        <w:ind w:firstLine="640" w:firstLineChars="200"/>
        <w:jc w:val="left"/>
        <w:rPr>
          <w:rFonts w:ascii="仿宋" w:hAnsi="仿宋" w:eastAsia="仿宋" w:cs="仿宋"/>
          <w:sz w:val="32"/>
        </w:rPr>
      </w:pPr>
      <w:r>
        <w:rPr>
          <w:rFonts w:hint="eastAsia" w:ascii="仿宋" w:hAnsi="仿宋" w:eastAsia="仿宋" w:cs="仿宋"/>
          <w:sz w:val="32"/>
        </w:rPr>
        <w:t>二、实验室安全自查情况</w:t>
      </w:r>
    </w:p>
    <w:p>
      <w:pPr>
        <w:widowControl/>
        <w:spacing w:line="560" w:lineRule="exact"/>
        <w:ind w:firstLine="640" w:firstLineChars="200"/>
        <w:jc w:val="left"/>
        <w:rPr>
          <w:rFonts w:ascii="仿宋" w:hAnsi="仿宋" w:eastAsia="仿宋" w:cs="仿宋"/>
          <w:sz w:val="32"/>
        </w:rPr>
      </w:pPr>
      <w:r>
        <w:rPr>
          <w:rFonts w:hint="eastAsia" w:ascii="仿宋" w:hAnsi="仿宋" w:eastAsia="仿宋" w:cs="仿宋"/>
          <w:sz w:val="32"/>
        </w:rPr>
        <w:t>2.1本次自查工作组织与实施</w:t>
      </w:r>
    </w:p>
    <w:p>
      <w:pPr>
        <w:widowControl/>
        <w:spacing w:line="560" w:lineRule="exact"/>
        <w:ind w:firstLine="640" w:firstLineChars="200"/>
        <w:jc w:val="left"/>
        <w:rPr>
          <w:rFonts w:ascii="仿宋" w:hAnsi="仿宋" w:eastAsia="仿宋" w:cs="仿宋"/>
          <w:sz w:val="32"/>
        </w:rPr>
      </w:pPr>
      <w:r>
        <w:rPr>
          <w:rFonts w:hint="eastAsia" w:ascii="仿宋" w:hAnsi="仿宋" w:eastAsia="仿宋" w:cs="仿宋"/>
          <w:sz w:val="32"/>
        </w:rPr>
        <w:t>2.2发现的隐患概况</w:t>
      </w:r>
    </w:p>
    <w:p>
      <w:pPr>
        <w:widowControl/>
        <w:spacing w:line="560" w:lineRule="exact"/>
        <w:ind w:firstLine="640" w:firstLineChars="200"/>
        <w:jc w:val="left"/>
        <w:rPr>
          <w:rFonts w:ascii="仿宋" w:hAnsi="仿宋" w:eastAsia="仿宋" w:cs="仿宋"/>
          <w:sz w:val="32"/>
        </w:rPr>
      </w:pPr>
    </w:p>
    <w:p>
      <w:pPr>
        <w:widowControl/>
        <w:numPr>
          <w:ilvl w:val="0"/>
          <w:numId w:val="1"/>
        </w:numPr>
        <w:spacing w:line="560" w:lineRule="exact"/>
        <w:ind w:firstLine="640" w:firstLineChars="200"/>
        <w:jc w:val="left"/>
        <w:rPr>
          <w:rFonts w:ascii="仿宋" w:hAnsi="仿宋" w:eastAsia="仿宋" w:cs="仿宋"/>
          <w:sz w:val="32"/>
        </w:rPr>
      </w:pPr>
      <w:r>
        <w:rPr>
          <w:rFonts w:hint="eastAsia" w:ascii="仿宋" w:hAnsi="仿宋" w:eastAsia="仿宋" w:cs="仿宋"/>
          <w:sz w:val="32"/>
        </w:rPr>
        <w:t>隐患整改</w:t>
      </w:r>
    </w:p>
    <w:p>
      <w:pPr>
        <w:widowControl/>
        <w:spacing w:line="560" w:lineRule="exact"/>
        <w:ind w:firstLine="640" w:firstLineChars="200"/>
        <w:jc w:val="left"/>
        <w:rPr>
          <w:rFonts w:ascii="仿宋" w:hAnsi="仿宋" w:eastAsia="仿宋" w:cs="仿宋"/>
          <w:sz w:val="32"/>
        </w:rPr>
      </w:pPr>
      <w:r>
        <w:rPr>
          <w:rFonts w:hint="eastAsia" w:ascii="仿宋" w:hAnsi="仿宋" w:eastAsia="仿宋" w:cs="仿宋"/>
          <w:sz w:val="32"/>
        </w:rPr>
        <w:t>3.1隐患整改的组织</w:t>
      </w:r>
    </w:p>
    <w:p>
      <w:pPr>
        <w:widowControl/>
        <w:spacing w:line="560" w:lineRule="exact"/>
        <w:ind w:firstLine="640" w:firstLineChars="200"/>
        <w:jc w:val="left"/>
        <w:rPr>
          <w:rFonts w:ascii="仿宋" w:hAnsi="仿宋" w:eastAsia="仿宋" w:cs="仿宋"/>
          <w:sz w:val="32"/>
        </w:rPr>
      </w:pPr>
      <w:r>
        <w:rPr>
          <w:rFonts w:hint="eastAsia" w:ascii="仿宋" w:hAnsi="仿宋" w:eastAsia="仿宋" w:cs="仿宋"/>
          <w:sz w:val="32"/>
        </w:rPr>
        <w:t>3.2隐患整改完成情况</w:t>
      </w:r>
    </w:p>
    <w:p>
      <w:pPr>
        <w:widowControl/>
        <w:jc w:val="center"/>
        <w:rPr>
          <w:rFonts w:ascii="仿宋" w:hAnsi="仿宋" w:eastAsia="仿宋" w:cs="仿宋"/>
          <w:sz w:val="32"/>
        </w:rPr>
      </w:pPr>
    </w:p>
    <w:p>
      <w:pPr>
        <w:widowControl/>
        <w:wordWrap w:val="0"/>
        <w:spacing w:line="560" w:lineRule="exact"/>
        <w:ind w:firstLine="640" w:firstLineChars="200"/>
        <w:jc w:val="right"/>
        <w:rPr>
          <w:rFonts w:ascii="仿宋" w:hAnsi="仿宋" w:eastAsia="仿宋" w:cs="仿宋"/>
          <w:sz w:val="32"/>
        </w:rPr>
      </w:pPr>
    </w:p>
    <w:p>
      <w:pPr>
        <w:widowControl/>
        <w:wordWrap w:val="0"/>
        <w:spacing w:line="560" w:lineRule="exact"/>
        <w:ind w:firstLine="640" w:firstLineChars="200"/>
        <w:jc w:val="right"/>
        <w:rPr>
          <w:rFonts w:ascii="仿宋" w:hAnsi="仿宋" w:eastAsia="仿宋" w:cs="仿宋"/>
          <w:sz w:val="32"/>
        </w:rPr>
      </w:pPr>
      <w:r>
        <w:rPr>
          <w:rFonts w:hint="eastAsia" w:ascii="仿宋" w:hAnsi="仿宋" w:eastAsia="仿宋" w:cs="仿宋"/>
          <w:sz w:val="32"/>
        </w:rPr>
        <w:t xml:space="preserve">二级学院名称（公章）：            </w:t>
      </w:r>
    </w:p>
    <w:p>
      <w:pPr>
        <w:widowControl/>
        <w:wordWrap w:val="0"/>
        <w:spacing w:line="560" w:lineRule="exact"/>
        <w:ind w:right="1280" w:firstLine="640" w:firstLineChars="200"/>
        <w:jc w:val="center"/>
        <w:rPr>
          <w:rFonts w:ascii="仿宋_GB2312" w:hAnsi="黑体" w:eastAsia="仿宋_GB2312"/>
          <w:sz w:val="32"/>
        </w:rPr>
      </w:pPr>
      <w:r>
        <w:rPr>
          <w:rFonts w:hint="eastAsia" w:ascii="仿宋" w:hAnsi="仿宋" w:eastAsia="仿宋" w:cs="仿宋"/>
          <w:sz w:val="32"/>
        </w:rPr>
        <w:t xml:space="preserve">                            报送时间：</w:t>
      </w:r>
      <w:r>
        <w:rPr>
          <w:rFonts w:hint="eastAsia" w:ascii="仿宋_GB2312" w:hAnsi="黑体" w:eastAsia="仿宋_GB2312"/>
          <w:sz w:val="32"/>
        </w:rPr>
        <w:t xml:space="preserve"> </w:t>
      </w:r>
      <w:r>
        <w:rPr>
          <w:rFonts w:ascii="仿宋_GB2312" w:hAnsi="黑体" w:eastAsia="仿宋_GB2312"/>
          <w:sz w:val="32"/>
        </w:rPr>
        <w:t xml:space="preserve">  </w:t>
      </w:r>
    </w:p>
    <w:p>
      <w:pPr>
        <w:widowControl/>
        <w:spacing w:line="560" w:lineRule="exact"/>
        <w:sectPr>
          <w:pgSz w:w="11906" w:h="16838"/>
          <w:pgMar w:top="2098" w:right="1474" w:bottom="1985" w:left="1588" w:header="851" w:footer="992" w:gutter="0"/>
          <w:cols w:space="720" w:num="1"/>
          <w:docGrid w:linePitch="312" w:charSpace="0"/>
        </w:sectPr>
      </w:pPr>
    </w:p>
    <w:p>
      <w:pPr>
        <w:rPr>
          <w:rFonts w:ascii="黑体" w:hAnsi="黑体" w:eastAsia="黑体" w:cs="宋体"/>
          <w:bCs/>
          <w:kern w:val="0"/>
          <w:sz w:val="32"/>
          <w:szCs w:val="36"/>
        </w:rPr>
      </w:pPr>
      <w:r>
        <w:rPr>
          <w:rFonts w:hint="eastAsia" w:ascii="黑体" w:hAnsi="黑体" w:eastAsia="黑体" w:cs="宋体"/>
          <w:bCs/>
          <w:kern w:val="0"/>
          <w:sz w:val="32"/>
          <w:szCs w:val="36"/>
        </w:rPr>
        <w:t>附件3</w:t>
      </w:r>
    </w:p>
    <w:p>
      <w:pPr>
        <w:tabs>
          <w:tab w:val="left" w:pos="3534"/>
        </w:tabs>
      </w:pPr>
    </w:p>
    <w:p>
      <w:pPr>
        <w:spacing w:before="120" w:beforeLines="50" w:after="120" w:afterLines="50" w:line="320" w:lineRule="exact"/>
        <w:jc w:val="center"/>
        <w:rPr>
          <w:rFonts w:ascii="方正小标宋简体" w:hAnsi="宋体" w:eastAsia="方正小标宋简体" w:cs="宋体"/>
          <w:bCs/>
          <w:kern w:val="0"/>
          <w:sz w:val="44"/>
        </w:rPr>
      </w:pPr>
      <w:r>
        <w:rPr>
          <w:rFonts w:hint="eastAsia" w:ascii="方正小标宋简体" w:hAnsi="宋体" w:eastAsia="方正小标宋简体" w:cs="宋体"/>
          <w:bCs/>
          <w:kern w:val="0"/>
          <w:sz w:val="44"/>
        </w:rPr>
        <w:t>XX学院实验室安全隐患自查自纠汇总表</w:t>
      </w:r>
    </w:p>
    <w:p>
      <w:pPr>
        <w:spacing w:before="240" w:beforeLines="100" w:after="120" w:afterLines="50" w:line="320" w:lineRule="exact"/>
        <w:rPr>
          <w:rFonts w:ascii="宋体" w:hAnsi="宋体" w:cs="宋体"/>
          <w:b/>
          <w:bCs/>
          <w:kern w:val="0"/>
          <w:sz w:val="44"/>
        </w:rPr>
      </w:pPr>
      <w:r>
        <w:rPr>
          <w:rFonts w:hint="eastAsia" w:ascii="宋体" w:hAnsi="宋体" w:cs="宋体"/>
          <w:b/>
          <w:bCs/>
          <w:kern w:val="0"/>
          <w:sz w:val="28"/>
        </w:rPr>
        <w:t>学校：</w:t>
      </w:r>
      <w:r>
        <w:rPr>
          <w:rFonts w:hint="eastAsia" w:ascii="宋体" w:hAnsi="宋体" w:cs="宋体"/>
          <w:b/>
          <w:bCs/>
          <w:kern w:val="0"/>
          <w:sz w:val="28"/>
          <w:u w:val="single"/>
        </w:rPr>
        <w:t xml:space="preserve">         </w:t>
      </w:r>
      <w:r>
        <w:rPr>
          <w:rFonts w:hint="eastAsia" w:ascii="宋体" w:hAnsi="宋体" w:cs="宋体"/>
          <w:b/>
          <w:bCs/>
          <w:kern w:val="0"/>
          <w:sz w:val="28"/>
        </w:rPr>
        <w:t xml:space="preserve"> 联系人</w:t>
      </w:r>
      <w:r>
        <w:rPr>
          <w:rFonts w:ascii="宋体" w:hAnsi="宋体" w:cs="宋体"/>
          <w:b/>
          <w:bCs/>
          <w:kern w:val="0"/>
          <w:sz w:val="28"/>
        </w:rPr>
        <w:t>：</w:t>
      </w:r>
      <w:r>
        <w:rPr>
          <w:rFonts w:hint="eastAsia" w:ascii="宋体" w:hAnsi="宋体" w:cs="宋体"/>
          <w:b/>
          <w:bCs/>
          <w:kern w:val="0"/>
          <w:sz w:val="28"/>
          <w:u w:val="single"/>
        </w:rPr>
        <w:t xml:space="preserve">         </w:t>
      </w:r>
      <w:r>
        <w:rPr>
          <w:rFonts w:hint="eastAsia" w:ascii="宋体" w:hAnsi="宋体" w:cs="宋体"/>
          <w:b/>
          <w:bCs/>
          <w:kern w:val="0"/>
          <w:sz w:val="28"/>
        </w:rPr>
        <w:t xml:space="preserve">  手机</w:t>
      </w:r>
      <w:r>
        <w:rPr>
          <w:rFonts w:ascii="宋体" w:hAnsi="宋体" w:cs="宋体"/>
          <w:b/>
          <w:bCs/>
          <w:kern w:val="0"/>
          <w:sz w:val="28"/>
        </w:rPr>
        <w:t>：</w:t>
      </w:r>
      <w:r>
        <w:rPr>
          <w:rFonts w:hint="eastAsia" w:ascii="宋体" w:hAnsi="宋体" w:cs="宋体"/>
          <w:b/>
          <w:bCs/>
          <w:kern w:val="0"/>
          <w:sz w:val="28"/>
          <w:u w:val="singl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397"/>
        <w:gridCol w:w="1824"/>
        <w:gridCol w:w="981"/>
        <w:gridCol w:w="1122"/>
        <w:gridCol w:w="4069"/>
        <w:gridCol w:w="2385"/>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tcMar>
              <w:left w:w="45" w:type="dxa"/>
              <w:right w:w="45" w:type="dxa"/>
            </w:tcMar>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序号</w:t>
            </w:r>
          </w:p>
        </w:tc>
        <w:tc>
          <w:tcPr>
            <w:tcW w:w="1397" w:type="dxa"/>
            <w:tcMar>
              <w:left w:w="45" w:type="dxa"/>
              <w:right w:w="45" w:type="dxa"/>
            </w:tcMar>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学院/</w:t>
            </w:r>
            <w:r>
              <w:rPr>
                <w:rFonts w:ascii="宋体" w:hAnsi="宋体" w:cs="宋体"/>
                <w:b/>
                <w:bCs/>
                <w:kern w:val="0"/>
                <w:sz w:val="24"/>
              </w:rPr>
              <w:t>单位</w:t>
            </w:r>
          </w:p>
        </w:tc>
        <w:tc>
          <w:tcPr>
            <w:tcW w:w="1824" w:type="dxa"/>
            <w:tcMar>
              <w:left w:w="45" w:type="dxa"/>
              <w:right w:w="45" w:type="dxa"/>
            </w:tcMar>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实验室</w:t>
            </w:r>
            <w:r>
              <w:rPr>
                <w:rFonts w:ascii="宋体" w:hAnsi="宋体" w:cs="宋体"/>
                <w:b/>
                <w:bCs/>
                <w:kern w:val="0"/>
                <w:sz w:val="24"/>
              </w:rPr>
              <w:t>名称</w:t>
            </w:r>
          </w:p>
        </w:tc>
        <w:tc>
          <w:tcPr>
            <w:tcW w:w="981" w:type="dxa"/>
            <w:tcMar>
              <w:left w:w="45" w:type="dxa"/>
              <w:right w:w="45" w:type="dxa"/>
            </w:tcMar>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负责人</w:t>
            </w:r>
          </w:p>
        </w:tc>
        <w:tc>
          <w:tcPr>
            <w:tcW w:w="1122" w:type="dxa"/>
            <w:tcMar>
              <w:left w:w="45" w:type="dxa"/>
              <w:right w:w="45" w:type="dxa"/>
            </w:tcMar>
            <w:vAlign w:val="center"/>
          </w:tcPr>
          <w:p>
            <w:pPr>
              <w:spacing w:line="320" w:lineRule="exact"/>
              <w:jc w:val="center"/>
              <w:rPr>
                <w:rFonts w:ascii="宋体" w:hAnsi="宋体" w:cs="宋体"/>
                <w:b/>
                <w:bCs/>
                <w:kern w:val="0"/>
                <w:sz w:val="24"/>
              </w:rPr>
            </w:pPr>
            <w:r>
              <w:rPr>
                <w:rFonts w:hint="eastAsia" w:ascii="宋体" w:hAnsi="宋体" w:cs="宋体"/>
                <w:b/>
                <w:bCs/>
                <w:kern w:val="0"/>
                <w:sz w:val="24"/>
              </w:rPr>
              <w:t>职务</w:t>
            </w:r>
          </w:p>
        </w:tc>
        <w:tc>
          <w:tcPr>
            <w:tcW w:w="4069" w:type="dxa"/>
            <w:tcMar>
              <w:left w:w="45" w:type="dxa"/>
              <w:right w:w="45" w:type="dxa"/>
            </w:tcMar>
            <w:vAlign w:val="center"/>
          </w:tcPr>
          <w:p>
            <w:pPr>
              <w:spacing w:line="320" w:lineRule="exact"/>
              <w:jc w:val="center"/>
              <w:rPr>
                <w:rFonts w:ascii="宋体" w:hAnsi="宋体" w:cs="宋体"/>
                <w:b/>
                <w:bCs/>
                <w:kern w:val="0"/>
                <w:sz w:val="24"/>
              </w:rPr>
            </w:pPr>
            <w:r>
              <w:rPr>
                <w:rFonts w:hint="eastAsia" w:ascii="宋体" w:hAnsi="宋体" w:cs="宋体"/>
                <w:b/>
                <w:bCs/>
                <w:kern w:val="0"/>
                <w:sz w:val="24"/>
              </w:rPr>
              <w:t>存在隐患</w:t>
            </w:r>
          </w:p>
        </w:tc>
        <w:tc>
          <w:tcPr>
            <w:tcW w:w="2385" w:type="dxa"/>
            <w:tcMar>
              <w:left w:w="45" w:type="dxa"/>
              <w:right w:w="45" w:type="dxa"/>
            </w:tcMar>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整改情况</w:t>
            </w:r>
          </w:p>
        </w:tc>
        <w:tc>
          <w:tcPr>
            <w:tcW w:w="1787" w:type="dxa"/>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整改完成时间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restart"/>
            <w:tcMar>
              <w:left w:w="45" w:type="dxa"/>
              <w:right w:w="45" w:type="dxa"/>
            </w:tcMar>
            <w:vAlign w:val="center"/>
          </w:tcPr>
          <w:p>
            <w:pPr>
              <w:spacing w:line="320" w:lineRule="exact"/>
              <w:rPr>
                <w:sz w:val="24"/>
              </w:rPr>
            </w:pPr>
          </w:p>
        </w:tc>
        <w:tc>
          <w:tcPr>
            <w:tcW w:w="1397" w:type="dxa"/>
            <w:vMerge w:val="restart"/>
            <w:tcMar>
              <w:left w:w="45" w:type="dxa"/>
              <w:right w:w="45" w:type="dxa"/>
            </w:tcMar>
            <w:vAlign w:val="center"/>
          </w:tcPr>
          <w:p>
            <w:pPr>
              <w:spacing w:line="320" w:lineRule="exact"/>
              <w:rPr>
                <w:sz w:val="24"/>
              </w:rPr>
            </w:pPr>
          </w:p>
        </w:tc>
        <w:tc>
          <w:tcPr>
            <w:tcW w:w="1824" w:type="dxa"/>
            <w:vMerge w:val="restart"/>
            <w:tcMar>
              <w:left w:w="45" w:type="dxa"/>
              <w:right w:w="45" w:type="dxa"/>
            </w:tcMar>
            <w:vAlign w:val="center"/>
          </w:tcPr>
          <w:p>
            <w:pPr>
              <w:spacing w:line="320" w:lineRule="exact"/>
              <w:rPr>
                <w:sz w:val="24"/>
              </w:rPr>
            </w:pPr>
          </w:p>
        </w:tc>
        <w:tc>
          <w:tcPr>
            <w:tcW w:w="981" w:type="dxa"/>
            <w:vMerge w:val="restart"/>
            <w:tcMar>
              <w:left w:w="45" w:type="dxa"/>
              <w:right w:w="45" w:type="dxa"/>
            </w:tcMar>
            <w:vAlign w:val="center"/>
          </w:tcPr>
          <w:p>
            <w:pPr>
              <w:spacing w:line="320" w:lineRule="exact"/>
              <w:rPr>
                <w:sz w:val="24"/>
              </w:rPr>
            </w:pPr>
          </w:p>
        </w:tc>
        <w:tc>
          <w:tcPr>
            <w:tcW w:w="1122" w:type="dxa"/>
            <w:vMerge w:val="restart"/>
            <w:tcMar>
              <w:left w:w="45" w:type="dxa"/>
              <w:right w:w="45" w:type="dxa"/>
            </w:tcMar>
            <w:vAlign w:val="center"/>
          </w:tcPr>
          <w:p>
            <w:pPr>
              <w:spacing w:line="320" w:lineRule="exact"/>
              <w:rPr>
                <w:sz w:val="24"/>
              </w:rPr>
            </w:pPr>
          </w:p>
        </w:tc>
        <w:tc>
          <w:tcPr>
            <w:tcW w:w="4069" w:type="dxa"/>
            <w:tcMar>
              <w:left w:w="45" w:type="dxa"/>
              <w:right w:w="45" w:type="dxa"/>
            </w:tcMar>
            <w:vAlign w:val="center"/>
          </w:tcPr>
          <w:p>
            <w:pPr>
              <w:spacing w:line="320" w:lineRule="exact"/>
              <w:rPr>
                <w:sz w:val="24"/>
              </w:rPr>
            </w:pPr>
            <w:r>
              <w:rPr>
                <w:rFonts w:hint="eastAsia"/>
                <w:sz w:val="24"/>
              </w:rPr>
              <w:t>1.</w:t>
            </w:r>
          </w:p>
        </w:tc>
        <w:tc>
          <w:tcPr>
            <w:tcW w:w="2385" w:type="dxa"/>
            <w:tcMar>
              <w:left w:w="45" w:type="dxa"/>
              <w:right w:w="45" w:type="dxa"/>
            </w:tcMar>
            <w:vAlign w:val="center"/>
          </w:tcPr>
          <w:p>
            <w:pPr>
              <w:spacing w:line="320" w:lineRule="exact"/>
              <w:rPr>
                <w:sz w:val="24"/>
              </w:rPr>
            </w:pPr>
          </w:p>
        </w:tc>
        <w:tc>
          <w:tcPr>
            <w:tcW w:w="1787"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tcMar>
              <w:left w:w="45" w:type="dxa"/>
              <w:right w:w="45" w:type="dxa"/>
            </w:tcMar>
            <w:vAlign w:val="center"/>
          </w:tcPr>
          <w:p>
            <w:pPr>
              <w:spacing w:line="320" w:lineRule="exact"/>
              <w:rPr>
                <w:sz w:val="24"/>
              </w:rPr>
            </w:pPr>
          </w:p>
        </w:tc>
        <w:tc>
          <w:tcPr>
            <w:tcW w:w="1397" w:type="dxa"/>
            <w:vMerge w:val="continue"/>
            <w:tcMar>
              <w:left w:w="45" w:type="dxa"/>
              <w:right w:w="45" w:type="dxa"/>
            </w:tcMar>
            <w:vAlign w:val="center"/>
          </w:tcPr>
          <w:p>
            <w:pPr>
              <w:spacing w:line="320" w:lineRule="exact"/>
              <w:rPr>
                <w:sz w:val="24"/>
              </w:rPr>
            </w:pPr>
          </w:p>
        </w:tc>
        <w:tc>
          <w:tcPr>
            <w:tcW w:w="1824" w:type="dxa"/>
            <w:vMerge w:val="continue"/>
            <w:tcMar>
              <w:left w:w="45" w:type="dxa"/>
              <w:right w:w="45" w:type="dxa"/>
            </w:tcMar>
            <w:vAlign w:val="center"/>
          </w:tcPr>
          <w:p>
            <w:pPr>
              <w:spacing w:line="320" w:lineRule="exact"/>
              <w:rPr>
                <w:sz w:val="24"/>
              </w:rPr>
            </w:pPr>
          </w:p>
        </w:tc>
        <w:tc>
          <w:tcPr>
            <w:tcW w:w="981" w:type="dxa"/>
            <w:vMerge w:val="continue"/>
            <w:tcMar>
              <w:left w:w="45" w:type="dxa"/>
              <w:right w:w="45" w:type="dxa"/>
            </w:tcMar>
            <w:vAlign w:val="center"/>
          </w:tcPr>
          <w:p>
            <w:pPr>
              <w:spacing w:line="320" w:lineRule="exact"/>
              <w:rPr>
                <w:sz w:val="24"/>
              </w:rPr>
            </w:pPr>
          </w:p>
        </w:tc>
        <w:tc>
          <w:tcPr>
            <w:tcW w:w="1122" w:type="dxa"/>
            <w:vMerge w:val="continue"/>
            <w:tcMar>
              <w:left w:w="45" w:type="dxa"/>
              <w:right w:w="45" w:type="dxa"/>
            </w:tcMar>
            <w:vAlign w:val="center"/>
          </w:tcPr>
          <w:p>
            <w:pPr>
              <w:spacing w:line="320" w:lineRule="exact"/>
              <w:rPr>
                <w:sz w:val="24"/>
              </w:rPr>
            </w:pPr>
          </w:p>
        </w:tc>
        <w:tc>
          <w:tcPr>
            <w:tcW w:w="4069" w:type="dxa"/>
            <w:tcMar>
              <w:left w:w="45" w:type="dxa"/>
              <w:right w:w="45" w:type="dxa"/>
            </w:tcMar>
            <w:vAlign w:val="center"/>
          </w:tcPr>
          <w:p>
            <w:pPr>
              <w:spacing w:line="320" w:lineRule="exact"/>
              <w:rPr>
                <w:sz w:val="24"/>
              </w:rPr>
            </w:pPr>
            <w:r>
              <w:rPr>
                <w:rFonts w:hint="eastAsia"/>
                <w:sz w:val="24"/>
              </w:rPr>
              <w:t>2.</w:t>
            </w:r>
          </w:p>
        </w:tc>
        <w:tc>
          <w:tcPr>
            <w:tcW w:w="2385" w:type="dxa"/>
            <w:tcMar>
              <w:left w:w="45" w:type="dxa"/>
              <w:right w:w="45" w:type="dxa"/>
            </w:tcMar>
            <w:vAlign w:val="center"/>
          </w:tcPr>
          <w:p>
            <w:pPr>
              <w:spacing w:line="320" w:lineRule="exact"/>
              <w:rPr>
                <w:sz w:val="24"/>
              </w:rPr>
            </w:pPr>
          </w:p>
        </w:tc>
        <w:tc>
          <w:tcPr>
            <w:tcW w:w="1787"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tcMar>
              <w:left w:w="45" w:type="dxa"/>
              <w:right w:w="45" w:type="dxa"/>
            </w:tcMar>
            <w:vAlign w:val="center"/>
          </w:tcPr>
          <w:p>
            <w:pPr>
              <w:spacing w:line="320" w:lineRule="exact"/>
              <w:rPr>
                <w:sz w:val="24"/>
              </w:rPr>
            </w:pPr>
          </w:p>
        </w:tc>
        <w:tc>
          <w:tcPr>
            <w:tcW w:w="1397" w:type="dxa"/>
            <w:vMerge w:val="continue"/>
            <w:tcMar>
              <w:left w:w="45" w:type="dxa"/>
              <w:right w:w="45" w:type="dxa"/>
            </w:tcMar>
            <w:vAlign w:val="center"/>
          </w:tcPr>
          <w:p>
            <w:pPr>
              <w:spacing w:line="320" w:lineRule="exact"/>
              <w:rPr>
                <w:sz w:val="24"/>
              </w:rPr>
            </w:pPr>
          </w:p>
        </w:tc>
        <w:tc>
          <w:tcPr>
            <w:tcW w:w="1824" w:type="dxa"/>
            <w:vMerge w:val="continue"/>
            <w:tcMar>
              <w:left w:w="45" w:type="dxa"/>
              <w:right w:w="45" w:type="dxa"/>
            </w:tcMar>
            <w:vAlign w:val="center"/>
          </w:tcPr>
          <w:p>
            <w:pPr>
              <w:spacing w:line="320" w:lineRule="exact"/>
              <w:rPr>
                <w:sz w:val="24"/>
              </w:rPr>
            </w:pPr>
          </w:p>
        </w:tc>
        <w:tc>
          <w:tcPr>
            <w:tcW w:w="981" w:type="dxa"/>
            <w:vMerge w:val="continue"/>
            <w:tcMar>
              <w:left w:w="45" w:type="dxa"/>
              <w:right w:w="45" w:type="dxa"/>
            </w:tcMar>
            <w:vAlign w:val="center"/>
          </w:tcPr>
          <w:p>
            <w:pPr>
              <w:spacing w:line="320" w:lineRule="exact"/>
              <w:rPr>
                <w:sz w:val="24"/>
              </w:rPr>
            </w:pPr>
          </w:p>
        </w:tc>
        <w:tc>
          <w:tcPr>
            <w:tcW w:w="1122" w:type="dxa"/>
            <w:vMerge w:val="continue"/>
            <w:tcMar>
              <w:left w:w="45" w:type="dxa"/>
              <w:right w:w="45" w:type="dxa"/>
            </w:tcMar>
            <w:vAlign w:val="center"/>
          </w:tcPr>
          <w:p>
            <w:pPr>
              <w:spacing w:line="320" w:lineRule="exact"/>
              <w:rPr>
                <w:sz w:val="24"/>
              </w:rPr>
            </w:pPr>
          </w:p>
        </w:tc>
        <w:tc>
          <w:tcPr>
            <w:tcW w:w="4069" w:type="dxa"/>
            <w:tcMar>
              <w:left w:w="45" w:type="dxa"/>
              <w:right w:w="45" w:type="dxa"/>
            </w:tcMar>
            <w:vAlign w:val="center"/>
          </w:tcPr>
          <w:p>
            <w:pPr>
              <w:spacing w:line="320" w:lineRule="exact"/>
              <w:rPr>
                <w:sz w:val="24"/>
              </w:rPr>
            </w:pPr>
            <w:r>
              <w:rPr>
                <w:rFonts w:hint="eastAsia"/>
                <w:sz w:val="24"/>
              </w:rPr>
              <w:t>3.</w:t>
            </w:r>
          </w:p>
        </w:tc>
        <w:tc>
          <w:tcPr>
            <w:tcW w:w="2385" w:type="dxa"/>
            <w:tcMar>
              <w:left w:w="45" w:type="dxa"/>
              <w:right w:w="45" w:type="dxa"/>
            </w:tcMar>
            <w:vAlign w:val="center"/>
          </w:tcPr>
          <w:p>
            <w:pPr>
              <w:spacing w:line="320" w:lineRule="exact"/>
              <w:rPr>
                <w:sz w:val="24"/>
              </w:rPr>
            </w:pPr>
          </w:p>
        </w:tc>
        <w:tc>
          <w:tcPr>
            <w:tcW w:w="1787"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restart"/>
            <w:tcMar>
              <w:left w:w="45" w:type="dxa"/>
              <w:right w:w="45" w:type="dxa"/>
            </w:tcMar>
            <w:vAlign w:val="center"/>
          </w:tcPr>
          <w:p>
            <w:pPr>
              <w:spacing w:line="320" w:lineRule="exact"/>
              <w:rPr>
                <w:sz w:val="24"/>
              </w:rPr>
            </w:pPr>
          </w:p>
        </w:tc>
        <w:tc>
          <w:tcPr>
            <w:tcW w:w="1397" w:type="dxa"/>
            <w:vMerge w:val="restart"/>
            <w:tcMar>
              <w:left w:w="45" w:type="dxa"/>
              <w:right w:w="45" w:type="dxa"/>
            </w:tcMar>
            <w:vAlign w:val="center"/>
          </w:tcPr>
          <w:p>
            <w:pPr>
              <w:spacing w:line="320" w:lineRule="exact"/>
              <w:rPr>
                <w:sz w:val="24"/>
              </w:rPr>
            </w:pPr>
          </w:p>
        </w:tc>
        <w:tc>
          <w:tcPr>
            <w:tcW w:w="1824" w:type="dxa"/>
            <w:vMerge w:val="restart"/>
            <w:tcMar>
              <w:left w:w="45" w:type="dxa"/>
              <w:right w:w="45" w:type="dxa"/>
            </w:tcMar>
            <w:vAlign w:val="center"/>
          </w:tcPr>
          <w:p>
            <w:pPr>
              <w:spacing w:line="320" w:lineRule="exact"/>
              <w:rPr>
                <w:sz w:val="24"/>
              </w:rPr>
            </w:pPr>
          </w:p>
        </w:tc>
        <w:tc>
          <w:tcPr>
            <w:tcW w:w="981" w:type="dxa"/>
            <w:vMerge w:val="restart"/>
            <w:tcMar>
              <w:left w:w="45" w:type="dxa"/>
              <w:right w:w="45" w:type="dxa"/>
            </w:tcMar>
            <w:vAlign w:val="center"/>
          </w:tcPr>
          <w:p>
            <w:pPr>
              <w:spacing w:line="320" w:lineRule="exact"/>
              <w:rPr>
                <w:sz w:val="24"/>
              </w:rPr>
            </w:pPr>
          </w:p>
        </w:tc>
        <w:tc>
          <w:tcPr>
            <w:tcW w:w="1122" w:type="dxa"/>
            <w:vMerge w:val="restart"/>
            <w:tcMar>
              <w:left w:w="45" w:type="dxa"/>
              <w:right w:w="45" w:type="dxa"/>
            </w:tcMar>
            <w:vAlign w:val="center"/>
          </w:tcPr>
          <w:p>
            <w:pPr>
              <w:spacing w:line="320" w:lineRule="exact"/>
              <w:rPr>
                <w:sz w:val="24"/>
              </w:rPr>
            </w:pPr>
          </w:p>
        </w:tc>
        <w:tc>
          <w:tcPr>
            <w:tcW w:w="4069" w:type="dxa"/>
            <w:tcMar>
              <w:left w:w="45" w:type="dxa"/>
              <w:right w:w="45" w:type="dxa"/>
            </w:tcMar>
            <w:vAlign w:val="center"/>
          </w:tcPr>
          <w:p>
            <w:pPr>
              <w:spacing w:line="320" w:lineRule="exact"/>
              <w:rPr>
                <w:sz w:val="24"/>
              </w:rPr>
            </w:pPr>
            <w:r>
              <w:rPr>
                <w:rFonts w:hint="eastAsia"/>
                <w:sz w:val="24"/>
              </w:rPr>
              <w:t>1.</w:t>
            </w:r>
          </w:p>
        </w:tc>
        <w:tc>
          <w:tcPr>
            <w:tcW w:w="2385" w:type="dxa"/>
            <w:tcMar>
              <w:left w:w="45" w:type="dxa"/>
              <w:right w:w="45" w:type="dxa"/>
            </w:tcMar>
            <w:vAlign w:val="center"/>
          </w:tcPr>
          <w:p>
            <w:pPr>
              <w:spacing w:line="320" w:lineRule="exact"/>
              <w:rPr>
                <w:sz w:val="24"/>
              </w:rPr>
            </w:pPr>
          </w:p>
        </w:tc>
        <w:tc>
          <w:tcPr>
            <w:tcW w:w="1787"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tcMar>
              <w:left w:w="45" w:type="dxa"/>
              <w:right w:w="45" w:type="dxa"/>
            </w:tcMar>
            <w:vAlign w:val="center"/>
          </w:tcPr>
          <w:p>
            <w:pPr>
              <w:spacing w:line="320" w:lineRule="exact"/>
              <w:rPr>
                <w:sz w:val="24"/>
              </w:rPr>
            </w:pPr>
          </w:p>
        </w:tc>
        <w:tc>
          <w:tcPr>
            <w:tcW w:w="1397" w:type="dxa"/>
            <w:vMerge w:val="continue"/>
            <w:tcMar>
              <w:left w:w="45" w:type="dxa"/>
              <w:right w:w="45" w:type="dxa"/>
            </w:tcMar>
            <w:vAlign w:val="center"/>
          </w:tcPr>
          <w:p>
            <w:pPr>
              <w:spacing w:line="320" w:lineRule="exact"/>
              <w:rPr>
                <w:sz w:val="24"/>
              </w:rPr>
            </w:pPr>
          </w:p>
        </w:tc>
        <w:tc>
          <w:tcPr>
            <w:tcW w:w="1824" w:type="dxa"/>
            <w:vMerge w:val="continue"/>
            <w:tcMar>
              <w:left w:w="45" w:type="dxa"/>
              <w:right w:w="45" w:type="dxa"/>
            </w:tcMar>
            <w:vAlign w:val="center"/>
          </w:tcPr>
          <w:p>
            <w:pPr>
              <w:spacing w:line="320" w:lineRule="exact"/>
              <w:rPr>
                <w:sz w:val="24"/>
              </w:rPr>
            </w:pPr>
          </w:p>
        </w:tc>
        <w:tc>
          <w:tcPr>
            <w:tcW w:w="981" w:type="dxa"/>
            <w:vMerge w:val="continue"/>
            <w:tcMar>
              <w:left w:w="45" w:type="dxa"/>
              <w:right w:w="45" w:type="dxa"/>
            </w:tcMar>
            <w:vAlign w:val="center"/>
          </w:tcPr>
          <w:p>
            <w:pPr>
              <w:spacing w:line="320" w:lineRule="exact"/>
              <w:rPr>
                <w:sz w:val="24"/>
              </w:rPr>
            </w:pPr>
          </w:p>
        </w:tc>
        <w:tc>
          <w:tcPr>
            <w:tcW w:w="1122" w:type="dxa"/>
            <w:vMerge w:val="continue"/>
            <w:tcMar>
              <w:left w:w="45" w:type="dxa"/>
              <w:right w:w="45" w:type="dxa"/>
            </w:tcMar>
            <w:vAlign w:val="center"/>
          </w:tcPr>
          <w:p>
            <w:pPr>
              <w:spacing w:line="320" w:lineRule="exact"/>
              <w:rPr>
                <w:sz w:val="24"/>
              </w:rPr>
            </w:pPr>
          </w:p>
        </w:tc>
        <w:tc>
          <w:tcPr>
            <w:tcW w:w="4069" w:type="dxa"/>
            <w:tcMar>
              <w:left w:w="45" w:type="dxa"/>
              <w:right w:w="45" w:type="dxa"/>
            </w:tcMar>
            <w:vAlign w:val="center"/>
          </w:tcPr>
          <w:p>
            <w:pPr>
              <w:spacing w:line="320" w:lineRule="exact"/>
              <w:rPr>
                <w:sz w:val="24"/>
              </w:rPr>
            </w:pPr>
            <w:r>
              <w:rPr>
                <w:rFonts w:hint="eastAsia"/>
                <w:sz w:val="24"/>
              </w:rPr>
              <w:t>2.</w:t>
            </w:r>
          </w:p>
        </w:tc>
        <w:tc>
          <w:tcPr>
            <w:tcW w:w="2385" w:type="dxa"/>
            <w:tcMar>
              <w:left w:w="45" w:type="dxa"/>
              <w:right w:w="45" w:type="dxa"/>
            </w:tcMar>
            <w:vAlign w:val="center"/>
          </w:tcPr>
          <w:p>
            <w:pPr>
              <w:spacing w:line="320" w:lineRule="exact"/>
              <w:rPr>
                <w:sz w:val="24"/>
              </w:rPr>
            </w:pPr>
          </w:p>
        </w:tc>
        <w:tc>
          <w:tcPr>
            <w:tcW w:w="1787"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tcMar>
              <w:left w:w="45" w:type="dxa"/>
              <w:right w:w="45" w:type="dxa"/>
            </w:tcMar>
            <w:vAlign w:val="center"/>
          </w:tcPr>
          <w:p>
            <w:pPr>
              <w:spacing w:line="320" w:lineRule="exact"/>
              <w:rPr>
                <w:sz w:val="24"/>
              </w:rPr>
            </w:pPr>
          </w:p>
        </w:tc>
        <w:tc>
          <w:tcPr>
            <w:tcW w:w="1397" w:type="dxa"/>
            <w:vMerge w:val="continue"/>
            <w:tcMar>
              <w:left w:w="45" w:type="dxa"/>
              <w:right w:w="45" w:type="dxa"/>
            </w:tcMar>
            <w:vAlign w:val="center"/>
          </w:tcPr>
          <w:p>
            <w:pPr>
              <w:spacing w:line="320" w:lineRule="exact"/>
              <w:rPr>
                <w:sz w:val="24"/>
              </w:rPr>
            </w:pPr>
          </w:p>
        </w:tc>
        <w:tc>
          <w:tcPr>
            <w:tcW w:w="1824" w:type="dxa"/>
            <w:vMerge w:val="continue"/>
            <w:tcMar>
              <w:left w:w="45" w:type="dxa"/>
              <w:right w:w="45" w:type="dxa"/>
            </w:tcMar>
            <w:vAlign w:val="center"/>
          </w:tcPr>
          <w:p>
            <w:pPr>
              <w:spacing w:line="320" w:lineRule="exact"/>
              <w:rPr>
                <w:sz w:val="24"/>
              </w:rPr>
            </w:pPr>
          </w:p>
        </w:tc>
        <w:tc>
          <w:tcPr>
            <w:tcW w:w="981" w:type="dxa"/>
            <w:vMerge w:val="continue"/>
            <w:tcMar>
              <w:left w:w="45" w:type="dxa"/>
              <w:right w:w="45" w:type="dxa"/>
            </w:tcMar>
            <w:vAlign w:val="center"/>
          </w:tcPr>
          <w:p>
            <w:pPr>
              <w:spacing w:line="320" w:lineRule="exact"/>
              <w:rPr>
                <w:sz w:val="24"/>
              </w:rPr>
            </w:pPr>
          </w:p>
        </w:tc>
        <w:tc>
          <w:tcPr>
            <w:tcW w:w="1122" w:type="dxa"/>
            <w:vMerge w:val="continue"/>
            <w:tcMar>
              <w:left w:w="45" w:type="dxa"/>
              <w:right w:w="45" w:type="dxa"/>
            </w:tcMar>
            <w:vAlign w:val="center"/>
          </w:tcPr>
          <w:p>
            <w:pPr>
              <w:spacing w:line="320" w:lineRule="exact"/>
              <w:rPr>
                <w:sz w:val="24"/>
              </w:rPr>
            </w:pPr>
          </w:p>
        </w:tc>
        <w:tc>
          <w:tcPr>
            <w:tcW w:w="4069" w:type="dxa"/>
            <w:tcMar>
              <w:left w:w="45" w:type="dxa"/>
              <w:right w:w="45" w:type="dxa"/>
            </w:tcMar>
            <w:vAlign w:val="center"/>
          </w:tcPr>
          <w:p>
            <w:pPr>
              <w:spacing w:line="320" w:lineRule="exact"/>
              <w:rPr>
                <w:sz w:val="24"/>
              </w:rPr>
            </w:pPr>
            <w:r>
              <w:rPr>
                <w:rFonts w:hint="eastAsia"/>
                <w:sz w:val="24"/>
              </w:rPr>
              <w:t>3.</w:t>
            </w:r>
          </w:p>
        </w:tc>
        <w:tc>
          <w:tcPr>
            <w:tcW w:w="2385" w:type="dxa"/>
            <w:tcMar>
              <w:left w:w="45" w:type="dxa"/>
              <w:right w:w="45" w:type="dxa"/>
            </w:tcMar>
            <w:vAlign w:val="center"/>
          </w:tcPr>
          <w:p>
            <w:pPr>
              <w:spacing w:line="320" w:lineRule="exact"/>
              <w:rPr>
                <w:sz w:val="24"/>
              </w:rPr>
            </w:pPr>
          </w:p>
        </w:tc>
        <w:tc>
          <w:tcPr>
            <w:tcW w:w="1787"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restart"/>
            <w:tcMar>
              <w:left w:w="45" w:type="dxa"/>
              <w:right w:w="45" w:type="dxa"/>
            </w:tcMar>
            <w:vAlign w:val="center"/>
          </w:tcPr>
          <w:p>
            <w:pPr>
              <w:spacing w:line="320" w:lineRule="exact"/>
              <w:rPr>
                <w:sz w:val="24"/>
              </w:rPr>
            </w:pPr>
          </w:p>
        </w:tc>
        <w:tc>
          <w:tcPr>
            <w:tcW w:w="1397" w:type="dxa"/>
            <w:vMerge w:val="restart"/>
            <w:tcMar>
              <w:left w:w="45" w:type="dxa"/>
              <w:right w:w="45" w:type="dxa"/>
            </w:tcMar>
            <w:vAlign w:val="center"/>
          </w:tcPr>
          <w:p>
            <w:pPr>
              <w:spacing w:line="320" w:lineRule="exact"/>
              <w:rPr>
                <w:sz w:val="24"/>
              </w:rPr>
            </w:pPr>
          </w:p>
        </w:tc>
        <w:tc>
          <w:tcPr>
            <w:tcW w:w="1824" w:type="dxa"/>
            <w:vMerge w:val="restart"/>
            <w:tcMar>
              <w:left w:w="45" w:type="dxa"/>
              <w:right w:w="45" w:type="dxa"/>
            </w:tcMar>
            <w:vAlign w:val="center"/>
          </w:tcPr>
          <w:p>
            <w:pPr>
              <w:spacing w:line="320" w:lineRule="exact"/>
              <w:rPr>
                <w:sz w:val="24"/>
              </w:rPr>
            </w:pPr>
          </w:p>
        </w:tc>
        <w:tc>
          <w:tcPr>
            <w:tcW w:w="981" w:type="dxa"/>
            <w:vMerge w:val="restart"/>
            <w:tcMar>
              <w:left w:w="45" w:type="dxa"/>
              <w:right w:w="45" w:type="dxa"/>
            </w:tcMar>
            <w:vAlign w:val="center"/>
          </w:tcPr>
          <w:p>
            <w:pPr>
              <w:spacing w:line="320" w:lineRule="exact"/>
              <w:rPr>
                <w:sz w:val="24"/>
              </w:rPr>
            </w:pPr>
          </w:p>
        </w:tc>
        <w:tc>
          <w:tcPr>
            <w:tcW w:w="1122" w:type="dxa"/>
            <w:vMerge w:val="restart"/>
            <w:tcMar>
              <w:left w:w="45" w:type="dxa"/>
              <w:right w:w="45" w:type="dxa"/>
            </w:tcMar>
            <w:vAlign w:val="center"/>
          </w:tcPr>
          <w:p>
            <w:pPr>
              <w:spacing w:line="320" w:lineRule="exact"/>
              <w:rPr>
                <w:sz w:val="24"/>
              </w:rPr>
            </w:pPr>
          </w:p>
        </w:tc>
        <w:tc>
          <w:tcPr>
            <w:tcW w:w="4069" w:type="dxa"/>
            <w:tcMar>
              <w:left w:w="45" w:type="dxa"/>
              <w:right w:w="45" w:type="dxa"/>
            </w:tcMar>
            <w:vAlign w:val="center"/>
          </w:tcPr>
          <w:p>
            <w:pPr>
              <w:spacing w:line="320" w:lineRule="exact"/>
              <w:rPr>
                <w:sz w:val="24"/>
              </w:rPr>
            </w:pPr>
            <w:r>
              <w:rPr>
                <w:rFonts w:hint="eastAsia"/>
                <w:sz w:val="24"/>
              </w:rPr>
              <w:t>1.</w:t>
            </w:r>
          </w:p>
        </w:tc>
        <w:tc>
          <w:tcPr>
            <w:tcW w:w="2385" w:type="dxa"/>
            <w:tcMar>
              <w:left w:w="45" w:type="dxa"/>
              <w:right w:w="45" w:type="dxa"/>
            </w:tcMar>
            <w:vAlign w:val="center"/>
          </w:tcPr>
          <w:p>
            <w:pPr>
              <w:spacing w:line="320" w:lineRule="exact"/>
              <w:rPr>
                <w:sz w:val="24"/>
              </w:rPr>
            </w:pPr>
          </w:p>
        </w:tc>
        <w:tc>
          <w:tcPr>
            <w:tcW w:w="1787"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tcMar>
              <w:left w:w="45" w:type="dxa"/>
              <w:right w:w="45" w:type="dxa"/>
            </w:tcMar>
            <w:vAlign w:val="center"/>
          </w:tcPr>
          <w:p>
            <w:pPr>
              <w:spacing w:line="320" w:lineRule="exact"/>
              <w:rPr>
                <w:sz w:val="24"/>
              </w:rPr>
            </w:pPr>
          </w:p>
        </w:tc>
        <w:tc>
          <w:tcPr>
            <w:tcW w:w="1397" w:type="dxa"/>
            <w:vMerge w:val="continue"/>
            <w:tcMar>
              <w:left w:w="45" w:type="dxa"/>
              <w:right w:w="45" w:type="dxa"/>
            </w:tcMar>
            <w:vAlign w:val="center"/>
          </w:tcPr>
          <w:p>
            <w:pPr>
              <w:spacing w:line="320" w:lineRule="exact"/>
              <w:rPr>
                <w:sz w:val="24"/>
              </w:rPr>
            </w:pPr>
          </w:p>
        </w:tc>
        <w:tc>
          <w:tcPr>
            <w:tcW w:w="1824" w:type="dxa"/>
            <w:vMerge w:val="continue"/>
            <w:tcMar>
              <w:left w:w="45" w:type="dxa"/>
              <w:right w:w="45" w:type="dxa"/>
            </w:tcMar>
            <w:vAlign w:val="center"/>
          </w:tcPr>
          <w:p>
            <w:pPr>
              <w:spacing w:line="320" w:lineRule="exact"/>
              <w:rPr>
                <w:sz w:val="24"/>
              </w:rPr>
            </w:pPr>
          </w:p>
        </w:tc>
        <w:tc>
          <w:tcPr>
            <w:tcW w:w="981" w:type="dxa"/>
            <w:vMerge w:val="continue"/>
            <w:tcMar>
              <w:left w:w="45" w:type="dxa"/>
              <w:right w:w="45" w:type="dxa"/>
            </w:tcMar>
            <w:vAlign w:val="center"/>
          </w:tcPr>
          <w:p>
            <w:pPr>
              <w:spacing w:line="320" w:lineRule="exact"/>
              <w:rPr>
                <w:sz w:val="24"/>
              </w:rPr>
            </w:pPr>
          </w:p>
        </w:tc>
        <w:tc>
          <w:tcPr>
            <w:tcW w:w="1122" w:type="dxa"/>
            <w:vMerge w:val="continue"/>
            <w:tcMar>
              <w:left w:w="45" w:type="dxa"/>
              <w:right w:w="45" w:type="dxa"/>
            </w:tcMar>
            <w:vAlign w:val="center"/>
          </w:tcPr>
          <w:p>
            <w:pPr>
              <w:spacing w:line="320" w:lineRule="exact"/>
              <w:rPr>
                <w:sz w:val="24"/>
              </w:rPr>
            </w:pPr>
          </w:p>
        </w:tc>
        <w:tc>
          <w:tcPr>
            <w:tcW w:w="4069" w:type="dxa"/>
            <w:tcMar>
              <w:left w:w="45" w:type="dxa"/>
              <w:right w:w="45" w:type="dxa"/>
            </w:tcMar>
            <w:vAlign w:val="center"/>
          </w:tcPr>
          <w:p>
            <w:pPr>
              <w:spacing w:line="320" w:lineRule="exact"/>
              <w:rPr>
                <w:sz w:val="24"/>
              </w:rPr>
            </w:pPr>
            <w:r>
              <w:rPr>
                <w:rFonts w:hint="eastAsia"/>
                <w:sz w:val="24"/>
              </w:rPr>
              <w:t>2.</w:t>
            </w:r>
          </w:p>
        </w:tc>
        <w:tc>
          <w:tcPr>
            <w:tcW w:w="2385" w:type="dxa"/>
            <w:tcMar>
              <w:left w:w="45" w:type="dxa"/>
              <w:right w:w="45" w:type="dxa"/>
            </w:tcMar>
            <w:vAlign w:val="center"/>
          </w:tcPr>
          <w:p>
            <w:pPr>
              <w:spacing w:line="320" w:lineRule="exact"/>
              <w:rPr>
                <w:sz w:val="24"/>
              </w:rPr>
            </w:pPr>
          </w:p>
        </w:tc>
        <w:tc>
          <w:tcPr>
            <w:tcW w:w="1787"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tcMar>
              <w:left w:w="45" w:type="dxa"/>
              <w:right w:w="45" w:type="dxa"/>
            </w:tcMar>
            <w:vAlign w:val="center"/>
          </w:tcPr>
          <w:p>
            <w:pPr>
              <w:spacing w:line="320" w:lineRule="exact"/>
              <w:rPr>
                <w:sz w:val="24"/>
              </w:rPr>
            </w:pPr>
          </w:p>
        </w:tc>
        <w:tc>
          <w:tcPr>
            <w:tcW w:w="1397" w:type="dxa"/>
            <w:vMerge w:val="continue"/>
            <w:tcMar>
              <w:left w:w="45" w:type="dxa"/>
              <w:right w:w="45" w:type="dxa"/>
            </w:tcMar>
            <w:vAlign w:val="center"/>
          </w:tcPr>
          <w:p>
            <w:pPr>
              <w:spacing w:line="320" w:lineRule="exact"/>
              <w:rPr>
                <w:sz w:val="24"/>
              </w:rPr>
            </w:pPr>
          </w:p>
        </w:tc>
        <w:tc>
          <w:tcPr>
            <w:tcW w:w="1824" w:type="dxa"/>
            <w:vMerge w:val="continue"/>
            <w:tcMar>
              <w:left w:w="45" w:type="dxa"/>
              <w:right w:w="45" w:type="dxa"/>
            </w:tcMar>
            <w:vAlign w:val="center"/>
          </w:tcPr>
          <w:p>
            <w:pPr>
              <w:spacing w:line="320" w:lineRule="exact"/>
              <w:rPr>
                <w:sz w:val="24"/>
              </w:rPr>
            </w:pPr>
          </w:p>
        </w:tc>
        <w:tc>
          <w:tcPr>
            <w:tcW w:w="981" w:type="dxa"/>
            <w:vMerge w:val="continue"/>
            <w:tcMar>
              <w:left w:w="45" w:type="dxa"/>
              <w:right w:w="45" w:type="dxa"/>
            </w:tcMar>
            <w:vAlign w:val="center"/>
          </w:tcPr>
          <w:p>
            <w:pPr>
              <w:spacing w:line="320" w:lineRule="exact"/>
              <w:rPr>
                <w:sz w:val="24"/>
              </w:rPr>
            </w:pPr>
          </w:p>
        </w:tc>
        <w:tc>
          <w:tcPr>
            <w:tcW w:w="1122" w:type="dxa"/>
            <w:vMerge w:val="continue"/>
            <w:tcMar>
              <w:left w:w="45" w:type="dxa"/>
              <w:right w:w="45" w:type="dxa"/>
            </w:tcMar>
            <w:vAlign w:val="center"/>
          </w:tcPr>
          <w:p>
            <w:pPr>
              <w:spacing w:line="320" w:lineRule="exact"/>
              <w:rPr>
                <w:sz w:val="24"/>
              </w:rPr>
            </w:pPr>
          </w:p>
        </w:tc>
        <w:tc>
          <w:tcPr>
            <w:tcW w:w="4069" w:type="dxa"/>
            <w:tcMar>
              <w:left w:w="45" w:type="dxa"/>
              <w:right w:w="45" w:type="dxa"/>
            </w:tcMar>
            <w:vAlign w:val="center"/>
          </w:tcPr>
          <w:p>
            <w:pPr>
              <w:spacing w:line="320" w:lineRule="exact"/>
              <w:rPr>
                <w:sz w:val="24"/>
              </w:rPr>
            </w:pPr>
            <w:r>
              <w:rPr>
                <w:rFonts w:hint="eastAsia"/>
                <w:sz w:val="24"/>
              </w:rPr>
              <w:t>3.</w:t>
            </w:r>
          </w:p>
        </w:tc>
        <w:tc>
          <w:tcPr>
            <w:tcW w:w="2385" w:type="dxa"/>
            <w:tcMar>
              <w:left w:w="45" w:type="dxa"/>
              <w:right w:w="45" w:type="dxa"/>
            </w:tcMar>
            <w:vAlign w:val="center"/>
          </w:tcPr>
          <w:p>
            <w:pPr>
              <w:spacing w:line="320" w:lineRule="exact"/>
              <w:rPr>
                <w:sz w:val="24"/>
              </w:rPr>
            </w:pPr>
          </w:p>
        </w:tc>
        <w:tc>
          <w:tcPr>
            <w:tcW w:w="1787"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restart"/>
            <w:tcMar>
              <w:left w:w="45" w:type="dxa"/>
              <w:right w:w="45" w:type="dxa"/>
            </w:tcMar>
            <w:vAlign w:val="center"/>
          </w:tcPr>
          <w:p>
            <w:pPr>
              <w:spacing w:line="320" w:lineRule="exact"/>
              <w:rPr>
                <w:sz w:val="24"/>
              </w:rPr>
            </w:pPr>
          </w:p>
        </w:tc>
        <w:tc>
          <w:tcPr>
            <w:tcW w:w="1397" w:type="dxa"/>
            <w:vMerge w:val="restart"/>
            <w:tcMar>
              <w:left w:w="45" w:type="dxa"/>
              <w:right w:w="45" w:type="dxa"/>
            </w:tcMar>
            <w:vAlign w:val="center"/>
          </w:tcPr>
          <w:p>
            <w:pPr>
              <w:spacing w:line="320" w:lineRule="exact"/>
              <w:rPr>
                <w:sz w:val="24"/>
              </w:rPr>
            </w:pPr>
          </w:p>
        </w:tc>
        <w:tc>
          <w:tcPr>
            <w:tcW w:w="1824" w:type="dxa"/>
            <w:vMerge w:val="restart"/>
            <w:tcMar>
              <w:left w:w="45" w:type="dxa"/>
              <w:right w:w="45" w:type="dxa"/>
            </w:tcMar>
            <w:vAlign w:val="center"/>
          </w:tcPr>
          <w:p>
            <w:pPr>
              <w:spacing w:line="320" w:lineRule="exact"/>
              <w:rPr>
                <w:sz w:val="24"/>
              </w:rPr>
            </w:pPr>
          </w:p>
        </w:tc>
        <w:tc>
          <w:tcPr>
            <w:tcW w:w="981" w:type="dxa"/>
            <w:vMerge w:val="restart"/>
            <w:tcMar>
              <w:left w:w="45" w:type="dxa"/>
              <w:right w:w="45" w:type="dxa"/>
            </w:tcMar>
            <w:vAlign w:val="center"/>
          </w:tcPr>
          <w:p>
            <w:pPr>
              <w:spacing w:line="320" w:lineRule="exact"/>
              <w:rPr>
                <w:sz w:val="24"/>
              </w:rPr>
            </w:pPr>
          </w:p>
        </w:tc>
        <w:tc>
          <w:tcPr>
            <w:tcW w:w="1122" w:type="dxa"/>
            <w:vMerge w:val="restart"/>
            <w:tcMar>
              <w:left w:w="45" w:type="dxa"/>
              <w:right w:w="45" w:type="dxa"/>
            </w:tcMar>
            <w:vAlign w:val="center"/>
          </w:tcPr>
          <w:p>
            <w:pPr>
              <w:spacing w:line="320" w:lineRule="exact"/>
              <w:rPr>
                <w:sz w:val="24"/>
              </w:rPr>
            </w:pPr>
          </w:p>
        </w:tc>
        <w:tc>
          <w:tcPr>
            <w:tcW w:w="4069" w:type="dxa"/>
            <w:tcMar>
              <w:left w:w="45" w:type="dxa"/>
              <w:right w:w="45" w:type="dxa"/>
            </w:tcMar>
            <w:vAlign w:val="center"/>
          </w:tcPr>
          <w:p>
            <w:pPr>
              <w:spacing w:line="320" w:lineRule="exact"/>
              <w:rPr>
                <w:sz w:val="24"/>
              </w:rPr>
            </w:pPr>
            <w:r>
              <w:rPr>
                <w:rFonts w:hint="eastAsia"/>
                <w:sz w:val="24"/>
              </w:rPr>
              <w:t>1.</w:t>
            </w:r>
          </w:p>
        </w:tc>
        <w:tc>
          <w:tcPr>
            <w:tcW w:w="2385" w:type="dxa"/>
            <w:tcMar>
              <w:left w:w="45" w:type="dxa"/>
              <w:right w:w="45" w:type="dxa"/>
            </w:tcMar>
            <w:vAlign w:val="center"/>
          </w:tcPr>
          <w:p>
            <w:pPr>
              <w:spacing w:line="320" w:lineRule="exact"/>
              <w:rPr>
                <w:sz w:val="24"/>
              </w:rPr>
            </w:pPr>
          </w:p>
        </w:tc>
        <w:tc>
          <w:tcPr>
            <w:tcW w:w="1787"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tcMar>
              <w:left w:w="45" w:type="dxa"/>
              <w:right w:w="45" w:type="dxa"/>
            </w:tcMar>
            <w:vAlign w:val="center"/>
          </w:tcPr>
          <w:p>
            <w:pPr>
              <w:spacing w:line="320" w:lineRule="exact"/>
              <w:rPr>
                <w:sz w:val="24"/>
              </w:rPr>
            </w:pPr>
          </w:p>
        </w:tc>
        <w:tc>
          <w:tcPr>
            <w:tcW w:w="1397" w:type="dxa"/>
            <w:vMerge w:val="continue"/>
            <w:tcMar>
              <w:left w:w="45" w:type="dxa"/>
              <w:right w:w="45" w:type="dxa"/>
            </w:tcMar>
            <w:vAlign w:val="center"/>
          </w:tcPr>
          <w:p>
            <w:pPr>
              <w:spacing w:line="320" w:lineRule="exact"/>
              <w:rPr>
                <w:sz w:val="24"/>
              </w:rPr>
            </w:pPr>
          </w:p>
        </w:tc>
        <w:tc>
          <w:tcPr>
            <w:tcW w:w="1824" w:type="dxa"/>
            <w:vMerge w:val="continue"/>
            <w:tcMar>
              <w:left w:w="45" w:type="dxa"/>
              <w:right w:w="45" w:type="dxa"/>
            </w:tcMar>
            <w:vAlign w:val="center"/>
          </w:tcPr>
          <w:p>
            <w:pPr>
              <w:spacing w:line="320" w:lineRule="exact"/>
              <w:rPr>
                <w:sz w:val="24"/>
              </w:rPr>
            </w:pPr>
          </w:p>
        </w:tc>
        <w:tc>
          <w:tcPr>
            <w:tcW w:w="981" w:type="dxa"/>
            <w:vMerge w:val="continue"/>
            <w:tcMar>
              <w:left w:w="45" w:type="dxa"/>
              <w:right w:w="45" w:type="dxa"/>
            </w:tcMar>
            <w:vAlign w:val="center"/>
          </w:tcPr>
          <w:p>
            <w:pPr>
              <w:spacing w:line="320" w:lineRule="exact"/>
              <w:rPr>
                <w:sz w:val="24"/>
              </w:rPr>
            </w:pPr>
          </w:p>
        </w:tc>
        <w:tc>
          <w:tcPr>
            <w:tcW w:w="1122" w:type="dxa"/>
            <w:vMerge w:val="continue"/>
            <w:tcMar>
              <w:left w:w="45" w:type="dxa"/>
              <w:right w:w="45" w:type="dxa"/>
            </w:tcMar>
            <w:vAlign w:val="center"/>
          </w:tcPr>
          <w:p>
            <w:pPr>
              <w:spacing w:line="320" w:lineRule="exact"/>
              <w:rPr>
                <w:sz w:val="24"/>
              </w:rPr>
            </w:pPr>
          </w:p>
        </w:tc>
        <w:tc>
          <w:tcPr>
            <w:tcW w:w="4069" w:type="dxa"/>
            <w:tcMar>
              <w:left w:w="45" w:type="dxa"/>
              <w:right w:w="45" w:type="dxa"/>
            </w:tcMar>
            <w:vAlign w:val="center"/>
          </w:tcPr>
          <w:p>
            <w:pPr>
              <w:spacing w:line="320" w:lineRule="exact"/>
              <w:rPr>
                <w:sz w:val="24"/>
              </w:rPr>
            </w:pPr>
            <w:r>
              <w:rPr>
                <w:rFonts w:hint="eastAsia"/>
                <w:sz w:val="24"/>
              </w:rPr>
              <w:t>2.</w:t>
            </w:r>
          </w:p>
        </w:tc>
        <w:tc>
          <w:tcPr>
            <w:tcW w:w="2385" w:type="dxa"/>
            <w:tcMar>
              <w:left w:w="45" w:type="dxa"/>
              <w:right w:w="45" w:type="dxa"/>
            </w:tcMar>
            <w:vAlign w:val="center"/>
          </w:tcPr>
          <w:p>
            <w:pPr>
              <w:spacing w:line="320" w:lineRule="exact"/>
              <w:rPr>
                <w:sz w:val="24"/>
              </w:rPr>
            </w:pPr>
          </w:p>
        </w:tc>
        <w:tc>
          <w:tcPr>
            <w:tcW w:w="1787"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tcMar>
              <w:left w:w="45" w:type="dxa"/>
              <w:right w:w="45" w:type="dxa"/>
            </w:tcMar>
            <w:vAlign w:val="center"/>
          </w:tcPr>
          <w:p>
            <w:pPr>
              <w:spacing w:line="320" w:lineRule="exact"/>
              <w:rPr>
                <w:sz w:val="24"/>
              </w:rPr>
            </w:pPr>
          </w:p>
        </w:tc>
        <w:tc>
          <w:tcPr>
            <w:tcW w:w="1397" w:type="dxa"/>
            <w:vMerge w:val="continue"/>
            <w:tcMar>
              <w:left w:w="45" w:type="dxa"/>
              <w:right w:w="45" w:type="dxa"/>
            </w:tcMar>
            <w:vAlign w:val="center"/>
          </w:tcPr>
          <w:p>
            <w:pPr>
              <w:spacing w:line="320" w:lineRule="exact"/>
              <w:rPr>
                <w:sz w:val="24"/>
              </w:rPr>
            </w:pPr>
          </w:p>
        </w:tc>
        <w:tc>
          <w:tcPr>
            <w:tcW w:w="1824" w:type="dxa"/>
            <w:vMerge w:val="continue"/>
            <w:tcMar>
              <w:left w:w="45" w:type="dxa"/>
              <w:right w:w="45" w:type="dxa"/>
            </w:tcMar>
            <w:vAlign w:val="center"/>
          </w:tcPr>
          <w:p>
            <w:pPr>
              <w:spacing w:line="320" w:lineRule="exact"/>
              <w:rPr>
                <w:sz w:val="24"/>
              </w:rPr>
            </w:pPr>
          </w:p>
        </w:tc>
        <w:tc>
          <w:tcPr>
            <w:tcW w:w="981" w:type="dxa"/>
            <w:vMerge w:val="continue"/>
            <w:tcMar>
              <w:left w:w="45" w:type="dxa"/>
              <w:right w:w="45" w:type="dxa"/>
            </w:tcMar>
            <w:vAlign w:val="center"/>
          </w:tcPr>
          <w:p>
            <w:pPr>
              <w:spacing w:line="320" w:lineRule="exact"/>
              <w:rPr>
                <w:sz w:val="24"/>
              </w:rPr>
            </w:pPr>
          </w:p>
        </w:tc>
        <w:tc>
          <w:tcPr>
            <w:tcW w:w="1122" w:type="dxa"/>
            <w:vMerge w:val="continue"/>
            <w:tcMar>
              <w:left w:w="45" w:type="dxa"/>
              <w:right w:w="45" w:type="dxa"/>
            </w:tcMar>
            <w:vAlign w:val="center"/>
          </w:tcPr>
          <w:p>
            <w:pPr>
              <w:spacing w:line="320" w:lineRule="exact"/>
              <w:rPr>
                <w:sz w:val="24"/>
              </w:rPr>
            </w:pPr>
          </w:p>
        </w:tc>
        <w:tc>
          <w:tcPr>
            <w:tcW w:w="4069" w:type="dxa"/>
            <w:tcMar>
              <w:left w:w="45" w:type="dxa"/>
              <w:right w:w="45" w:type="dxa"/>
            </w:tcMar>
            <w:vAlign w:val="center"/>
          </w:tcPr>
          <w:p>
            <w:pPr>
              <w:spacing w:line="320" w:lineRule="exact"/>
              <w:rPr>
                <w:sz w:val="24"/>
              </w:rPr>
            </w:pPr>
            <w:r>
              <w:rPr>
                <w:rFonts w:hint="eastAsia"/>
                <w:sz w:val="24"/>
              </w:rPr>
              <w:t>3.</w:t>
            </w:r>
          </w:p>
        </w:tc>
        <w:tc>
          <w:tcPr>
            <w:tcW w:w="2385" w:type="dxa"/>
            <w:tcMar>
              <w:left w:w="45" w:type="dxa"/>
              <w:right w:w="45" w:type="dxa"/>
            </w:tcMar>
            <w:vAlign w:val="center"/>
          </w:tcPr>
          <w:p>
            <w:pPr>
              <w:spacing w:line="320" w:lineRule="exact"/>
              <w:rPr>
                <w:sz w:val="24"/>
              </w:rPr>
            </w:pPr>
          </w:p>
        </w:tc>
        <w:tc>
          <w:tcPr>
            <w:tcW w:w="1787"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56" w:type="dxa"/>
            <w:gridSpan w:val="2"/>
            <w:tcMar>
              <w:left w:w="45" w:type="dxa"/>
              <w:right w:w="45" w:type="dxa"/>
            </w:tcMar>
            <w:vAlign w:val="center"/>
          </w:tcPr>
          <w:p>
            <w:pPr>
              <w:spacing w:line="320" w:lineRule="exact"/>
              <w:jc w:val="center"/>
              <w:rPr>
                <w:sz w:val="24"/>
              </w:rPr>
            </w:pPr>
            <w:r>
              <w:rPr>
                <w:rFonts w:hint="eastAsia"/>
                <w:sz w:val="24"/>
              </w:rPr>
              <w:t>合  计</w:t>
            </w:r>
          </w:p>
        </w:tc>
        <w:tc>
          <w:tcPr>
            <w:tcW w:w="12168" w:type="dxa"/>
            <w:gridSpan w:val="6"/>
            <w:tcMar>
              <w:left w:w="45" w:type="dxa"/>
              <w:right w:w="45" w:type="dxa"/>
            </w:tcMar>
            <w:vAlign w:val="center"/>
          </w:tcPr>
          <w:p>
            <w:pPr>
              <w:spacing w:line="320" w:lineRule="exact"/>
              <w:rPr>
                <w:sz w:val="24"/>
              </w:rPr>
            </w:pPr>
            <w:r>
              <w:rPr>
                <w:rFonts w:hint="eastAsia"/>
                <w:sz w:val="24"/>
              </w:rPr>
              <w:t>发现隐患</w:t>
            </w:r>
            <w:r>
              <w:rPr>
                <w:sz w:val="24"/>
              </w:rPr>
              <w:t>数：</w:t>
            </w:r>
            <w:r>
              <w:rPr>
                <w:rFonts w:hint="eastAsia"/>
                <w:sz w:val="24"/>
              </w:rPr>
              <w:t xml:space="preserve">             已</w:t>
            </w:r>
            <w:r>
              <w:rPr>
                <w:sz w:val="24"/>
              </w:rPr>
              <w:t>整改</w:t>
            </w:r>
            <w:r>
              <w:rPr>
                <w:rFonts w:hint="eastAsia"/>
                <w:sz w:val="24"/>
              </w:rPr>
              <w:t>数</w:t>
            </w:r>
            <w:r>
              <w:rPr>
                <w:sz w:val="24"/>
              </w:rPr>
              <w:t>：</w:t>
            </w:r>
            <w:r>
              <w:rPr>
                <w:rFonts w:hint="eastAsia"/>
                <w:sz w:val="24"/>
              </w:rPr>
              <w:t xml:space="preserve">              已</w:t>
            </w:r>
            <w:r>
              <w:rPr>
                <w:sz w:val="24"/>
              </w:rPr>
              <w:t>制定方案准备整改数：</w:t>
            </w:r>
          </w:p>
        </w:tc>
      </w:tr>
    </w:tbl>
    <w:p/>
    <w:p>
      <w:pPr>
        <w:pStyle w:val="16"/>
        <w:widowControl/>
        <w:shd w:val="clear" w:color="auto" w:fill="FFFFFF"/>
        <w:spacing w:beforeAutospacing="0" w:afterAutospacing="0" w:line="375" w:lineRule="atLeast"/>
        <w:rPr>
          <w:rFonts w:ascii="新宋体" w:hAnsi="新宋体" w:eastAsia="新宋体" w:cs="新宋体"/>
          <w:color w:val="2B2B2B"/>
          <w:sz w:val="27"/>
          <w:szCs w:val="27"/>
          <w:shd w:val="clear" w:color="auto" w:fill="FFFFFF"/>
        </w:rPr>
      </w:pPr>
    </w:p>
    <w:p>
      <w:pPr>
        <w:sectPr>
          <w:pgSz w:w="16838" w:h="11906" w:orient="landscape"/>
          <w:pgMar w:top="1797" w:right="1440" w:bottom="1797" w:left="1440" w:header="851" w:footer="992" w:gutter="0"/>
          <w:cols w:space="425" w:num="1"/>
          <w:docGrid w:linePitch="312" w:charSpace="0"/>
        </w:sectPr>
      </w:pPr>
    </w:p>
    <w:p>
      <w:pPr>
        <w:widowControl/>
        <w:adjustRightInd w:val="0"/>
        <w:snapToGrid w:val="0"/>
        <w:spacing w:line="260" w:lineRule="atLeast"/>
        <w:jc w:val="center"/>
        <w:rPr>
          <w:rFonts w:ascii="宋体" w:hAnsi="宋体" w:eastAsia="宋体" w:cs="微软雅黑 Light"/>
          <w:b/>
          <w:kern w:val="0"/>
          <w:sz w:val="32"/>
          <w:szCs w:val="32"/>
          <w:shd w:val="clear" w:color="auto" w:fill="FFFFFF"/>
        </w:rPr>
      </w:pPr>
      <w:r>
        <w:rPr>
          <w:rFonts w:hint="eastAsia" w:ascii="宋体" w:hAnsi="宋体" w:eastAsia="宋体" w:cs="微软雅黑 Light"/>
          <w:b/>
          <w:kern w:val="0"/>
          <w:sz w:val="32"/>
          <w:szCs w:val="32"/>
          <w:shd w:val="clear" w:color="auto" w:fill="FFFFFF"/>
        </w:rPr>
        <w:t>20</w:t>
      </w:r>
      <w:r>
        <w:rPr>
          <w:rFonts w:ascii="宋体" w:hAnsi="宋体" w:eastAsia="宋体" w:cs="微软雅黑 Light"/>
          <w:b/>
          <w:kern w:val="0"/>
          <w:sz w:val="32"/>
          <w:szCs w:val="32"/>
          <w:shd w:val="clear" w:color="auto" w:fill="FFFFFF"/>
        </w:rPr>
        <w:t>19</w:t>
      </w:r>
      <w:r>
        <w:rPr>
          <w:rFonts w:hint="eastAsia" w:ascii="宋体" w:hAnsi="宋体" w:eastAsia="宋体" w:cs="微软雅黑 Light"/>
          <w:b/>
          <w:kern w:val="0"/>
          <w:sz w:val="32"/>
          <w:szCs w:val="32"/>
          <w:shd w:val="clear" w:color="auto" w:fill="FFFFFF"/>
        </w:rPr>
        <w:t>-20</w:t>
      </w:r>
      <w:r>
        <w:rPr>
          <w:rFonts w:ascii="宋体" w:hAnsi="宋体" w:eastAsia="宋体" w:cs="微软雅黑 Light"/>
          <w:b/>
          <w:kern w:val="0"/>
          <w:sz w:val="32"/>
          <w:szCs w:val="32"/>
          <w:shd w:val="clear" w:color="auto" w:fill="FFFFFF"/>
        </w:rPr>
        <w:t>20</w:t>
      </w:r>
      <w:r>
        <w:rPr>
          <w:rFonts w:hint="eastAsia" w:ascii="宋体" w:hAnsi="宋体" w:eastAsia="宋体" w:cs="微软雅黑 Light"/>
          <w:b/>
          <w:kern w:val="0"/>
          <w:sz w:val="32"/>
          <w:szCs w:val="32"/>
          <w:shd w:val="clear" w:color="auto" w:fill="FFFFFF"/>
        </w:rPr>
        <w:t>-2期末实验室安全检查评分表</w:t>
      </w:r>
    </w:p>
    <w:p>
      <w:pPr>
        <w:widowControl/>
        <w:adjustRightInd w:val="0"/>
        <w:snapToGrid w:val="0"/>
        <w:spacing w:before="120" w:beforeLines="50" w:line="260" w:lineRule="atLeast"/>
        <w:jc w:val="left"/>
        <w:rPr>
          <w:rFonts w:ascii="宋体" w:hAnsi="宋体" w:cs="微软雅黑 Light"/>
          <w:b/>
          <w:kern w:val="0"/>
          <w:sz w:val="24"/>
          <w:shd w:val="clear" w:color="auto" w:fill="FFFFFF"/>
        </w:rPr>
      </w:pPr>
      <w:r>
        <w:rPr>
          <w:rFonts w:ascii="宋体" w:hAnsi="宋体" w:cs="微软雅黑 Light"/>
          <w:b/>
          <w:kern w:val="0"/>
          <w:sz w:val="24"/>
          <w:shd w:val="clear" w:color="auto" w:fill="FFFFFF"/>
        </w:rPr>
        <w:t>注</w:t>
      </w:r>
      <w:r>
        <w:rPr>
          <w:rFonts w:hint="eastAsia" w:ascii="宋体" w:hAnsi="宋体" w:cs="微软雅黑 Light"/>
          <w:b/>
          <w:kern w:val="0"/>
          <w:sz w:val="24"/>
          <w:shd w:val="clear" w:color="auto" w:fill="FFFFFF"/>
        </w:rPr>
        <w:t>：只能出现2个A、2个B和3个C。</w:t>
      </w:r>
    </w:p>
    <w:tbl>
      <w:tblPr>
        <w:tblStyle w:val="18"/>
        <w:tblW w:w="15134" w:type="dxa"/>
        <w:tblInd w:w="-594" w:type="dxa"/>
        <w:tblLayout w:type="fixed"/>
        <w:tblCellMar>
          <w:top w:w="0" w:type="dxa"/>
          <w:left w:w="108" w:type="dxa"/>
          <w:bottom w:w="0" w:type="dxa"/>
          <w:right w:w="108" w:type="dxa"/>
        </w:tblCellMar>
      </w:tblPr>
      <w:tblGrid>
        <w:gridCol w:w="822"/>
        <w:gridCol w:w="1270"/>
        <w:gridCol w:w="2410"/>
        <w:gridCol w:w="506"/>
        <w:gridCol w:w="506"/>
        <w:gridCol w:w="506"/>
        <w:gridCol w:w="507"/>
        <w:gridCol w:w="506"/>
        <w:gridCol w:w="506"/>
        <w:gridCol w:w="507"/>
        <w:gridCol w:w="506"/>
        <w:gridCol w:w="506"/>
        <w:gridCol w:w="506"/>
        <w:gridCol w:w="507"/>
        <w:gridCol w:w="506"/>
        <w:gridCol w:w="506"/>
        <w:gridCol w:w="507"/>
        <w:gridCol w:w="506"/>
        <w:gridCol w:w="506"/>
        <w:gridCol w:w="506"/>
        <w:gridCol w:w="507"/>
        <w:gridCol w:w="506"/>
        <w:gridCol w:w="506"/>
        <w:gridCol w:w="507"/>
      </w:tblGrid>
      <w:tr>
        <w:tblPrEx>
          <w:tblCellMar>
            <w:top w:w="0" w:type="dxa"/>
            <w:left w:w="108" w:type="dxa"/>
            <w:bottom w:w="0" w:type="dxa"/>
            <w:right w:w="108" w:type="dxa"/>
          </w:tblCellMar>
        </w:tblPrEx>
        <w:trPr>
          <w:trHeight w:val="710" w:hRule="atLeast"/>
        </w:trPr>
        <w:tc>
          <w:tcPr>
            <w:tcW w:w="822"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eastAsia="宋体" w:cs="微软雅黑 Light"/>
                <w:b/>
                <w:kern w:val="0"/>
                <w:sz w:val="24"/>
              </w:rPr>
            </w:pPr>
            <w:r>
              <w:rPr>
                <w:rFonts w:hint="eastAsia" w:ascii="宋体" w:hAnsi="宋体" w:eastAsia="宋体" w:cs="微软雅黑 Light"/>
                <w:b/>
                <w:kern w:val="0"/>
                <w:sz w:val="24"/>
                <w:shd w:val="clear" w:color="auto" w:fill="FFFFFF"/>
              </w:rPr>
              <w:t>序号</w:t>
            </w:r>
          </w:p>
        </w:tc>
        <w:tc>
          <w:tcPr>
            <w:tcW w:w="1270" w:type="dxa"/>
            <w:vMerge w:val="restart"/>
            <w:tcBorders>
              <w:top w:val="single" w:color="000000" w:sz="4" w:space="0"/>
              <w:left w:val="nil"/>
              <w:right w:val="single" w:color="000000" w:sz="4" w:space="0"/>
            </w:tcBorders>
            <w:vAlign w:val="center"/>
          </w:tcPr>
          <w:p>
            <w:pPr>
              <w:widowControl/>
              <w:jc w:val="center"/>
              <w:rPr>
                <w:rFonts w:ascii="宋体" w:hAnsi="宋体" w:eastAsia="宋体" w:cs="微软雅黑 Light"/>
                <w:b/>
                <w:kern w:val="0"/>
                <w:sz w:val="24"/>
              </w:rPr>
            </w:pPr>
            <w:r>
              <w:rPr>
                <w:rFonts w:hint="eastAsia" w:ascii="宋体" w:hAnsi="宋体" w:eastAsia="宋体" w:cs="微软雅黑 Light"/>
                <w:b/>
                <w:kern w:val="0"/>
                <w:sz w:val="24"/>
                <w:shd w:val="clear" w:color="auto" w:fill="FFFFFF"/>
              </w:rPr>
              <w:t>检查内容</w:t>
            </w:r>
          </w:p>
        </w:tc>
        <w:tc>
          <w:tcPr>
            <w:tcW w:w="2410" w:type="dxa"/>
            <w:vMerge w:val="restart"/>
            <w:tcBorders>
              <w:top w:val="single" w:color="000000" w:sz="4" w:space="0"/>
              <w:left w:val="nil"/>
              <w:right w:val="single" w:color="auto" w:sz="4" w:space="0"/>
            </w:tcBorders>
            <w:vAlign w:val="center"/>
          </w:tcPr>
          <w:p>
            <w:pPr>
              <w:widowControl/>
              <w:jc w:val="center"/>
              <w:rPr>
                <w:rFonts w:ascii="宋体" w:hAnsi="宋体" w:eastAsia="宋体" w:cs="微软雅黑 Light"/>
                <w:b/>
                <w:kern w:val="0"/>
                <w:sz w:val="24"/>
              </w:rPr>
            </w:pPr>
            <w:r>
              <w:rPr>
                <w:rFonts w:hint="eastAsia" w:ascii="宋体" w:hAnsi="宋体" w:eastAsia="宋体" w:cs="微软雅黑 Light"/>
                <w:b/>
                <w:kern w:val="0"/>
                <w:sz w:val="24"/>
              </w:rPr>
              <w:t>检查</w:t>
            </w:r>
            <w:r>
              <w:rPr>
                <w:rFonts w:hint="eastAsia" w:ascii="宋体" w:hAnsi="宋体" w:cs="微软雅黑 Light"/>
                <w:b/>
                <w:kern w:val="0"/>
                <w:sz w:val="24"/>
              </w:rPr>
              <w:t>要点</w:t>
            </w:r>
          </w:p>
        </w:tc>
        <w:tc>
          <w:tcPr>
            <w:tcW w:w="1518" w:type="dxa"/>
            <w:gridSpan w:val="3"/>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微软雅黑 Light"/>
                <w:b/>
                <w:kern w:val="0"/>
                <w:sz w:val="24"/>
              </w:rPr>
            </w:pPr>
            <w:r>
              <w:rPr>
                <w:rFonts w:hint="eastAsia" w:ascii="宋体" w:hAnsi="宋体" w:cs="微软雅黑 Light"/>
                <w:b/>
                <w:kern w:val="0"/>
                <w:sz w:val="24"/>
              </w:rPr>
              <w:t>建筑学院</w:t>
            </w:r>
          </w:p>
        </w:tc>
        <w:tc>
          <w:tcPr>
            <w:tcW w:w="1519" w:type="dxa"/>
            <w:gridSpan w:val="3"/>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微软雅黑 Light"/>
                <w:b/>
                <w:kern w:val="0"/>
                <w:sz w:val="24"/>
              </w:rPr>
            </w:pPr>
            <w:r>
              <w:rPr>
                <w:rFonts w:hint="eastAsia" w:ascii="宋体" w:hAnsi="宋体" w:cs="微软雅黑 Light"/>
                <w:b/>
                <w:kern w:val="0"/>
                <w:sz w:val="24"/>
              </w:rPr>
              <w:t>汽车学院</w:t>
            </w:r>
          </w:p>
        </w:tc>
        <w:tc>
          <w:tcPr>
            <w:tcW w:w="1519" w:type="dxa"/>
            <w:gridSpan w:val="3"/>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微软雅黑 Light"/>
                <w:b/>
                <w:kern w:val="0"/>
                <w:sz w:val="24"/>
              </w:rPr>
            </w:pPr>
            <w:r>
              <w:rPr>
                <w:rFonts w:hint="eastAsia" w:ascii="宋体" w:hAnsi="宋体" w:cs="微软雅黑 Light"/>
                <w:b/>
                <w:kern w:val="0"/>
                <w:sz w:val="24"/>
              </w:rPr>
              <w:t>材料学院</w:t>
            </w:r>
          </w:p>
        </w:tc>
        <w:tc>
          <w:tcPr>
            <w:tcW w:w="1519" w:type="dxa"/>
            <w:gridSpan w:val="3"/>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微软雅黑 Light"/>
                <w:b/>
                <w:kern w:val="0"/>
                <w:sz w:val="24"/>
              </w:rPr>
            </w:pPr>
            <w:r>
              <w:rPr>
                <w:rFonts w:hint="eastAsia" w:ascii="宋体" w:hAnsi="宋体" w:cs="微软雅黑 Light"/>
                <w:b/>
                <w:kern w:val="0"/>
                <w:sz w:val="24"/>
              </w:rPr>
              <w:t>机电学院</w:t>
            </w:r>
          </w:p>
        </w:tc>
        <w:tc>
          <w:tcPr>
            <w:tcW w:w="1519" w:type="dxa"/>
            <w:gridSpan w:val="3"/>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微软雅黑 Light"/>
                <w:b/>
                <w:kern w:val="0"/>
                <w:sz w:val="24"/>
              </w:rPr>
            </w:pPr>
            <w:r>
              <w:rPr>
                <w:rFonts w:hint="eastAsia" w:ascii="宋体" w:hAnsi="宋体" w:cs="微软雅黑 Light"/>
                <w:b/>
                <w:kern w:val="0"/>
                <w:sz w:val="24"/>
              </w:rPr>
              <w:t>化工学院</w:t>
            </w:r>
          </w:p>
        </w:tc>
        <w:tc>
          <w:tcPr>
            <w:tcW w:w="1519" w:type="dxa"/>
            <w:gridSpan w:val="3"/>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微软雅黑 Light"/>
                <w:b/>
                <w:kern w:val="0"/>
                <w:sz w:val="24"/>
              </w:rPr>
            </w:pPr>
            <w:r>
              <w:rPr>
                <w:rFonts w:hint="eastAsia" w:ascii="宋体" w:hAnsi="宋体" w:cs="微软雅黑 Light"/>
                <w:b/>
                <w:kern w:val="0"/>
                <w:sz w:val="24"/>
              </w:rPr>
              <w:t>信电学院</w:t>
            </w:r>
          </w:p>
        </w:tc>
        <w:tc>
          <w:tcPr>
            <w:tcW w:w="1519" w:type="dxa"/>
            <w:gridSpan w:val="3"/>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微软雅黑 Light"/>
                <w:b/>
                <w:kern w:val="0"/>
                <w:sz w:val="24"/>
              </w:rPr>
            </w:pPr>
            <w:r>
              <w:rPr>
                <w:rFonts w:hint="eastAsia" w:ascii="宋体" w:hAnsi="宋体" w:cs="微软雅黑 Light"/>
                <w:b/>
                <w:kern w:val="0"/>
                <w:sz w:val="24"/>
              </w:rPr>
              <w:t>工商学院</w:t>
            </w:r>
          </w:p>
        </w:tc>
      </w:tr>
      <w:tr>
        <w:tblPrEx>
          <w:tblCellMar>
            <w:top w:w="0" w:type="dxa"/>
            <w:left w:w="108" w:type="dxa"/>
            <w:bottom w:w="0" w:type="dxa"/>
            <w:right w:w="108" w:type="dxa"/>
          </w:tblCellMar>
        </w:tblPrEx>
        <w:trPr>
          <w:trHeight w:val="416" w:hRule="atLeast"/>
        </w:trPr>
        <w:tc>
          <w:tcPr>
            <w:tcW w:w="822"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eastAsia="宋体" w:cs="微软雅黑 Light"/>
                <w:b/>
                <w:kern w:val="0"/>
                <w:sz w:val="24"/>
                <w:shd w:val="clear" w:color="auto" w:fill="FFFFFF"/>
              </w:rPr>
            </w:pPr>
          </w:p>
        </w:tc>
        <w:tc>
          <w:tcPr>
            <w:tcW w:w="1270" w:type="dxa"/>
            <w:vMerge w:val="continue"/>
            <w:tcBorders>
              <w:left w:val="nil"/>
              <w:bottom w:val="single" w:color="000000" w:sz="4" w:space="0"/>
              <w:right w:val="single" w:color="000000" w:sz="4" w:space="0"/>
            </w:tcBorders>
            <w:vAlign w:val="center"/>
          </w:tcPr>
          <w:p>
            <w:pPr>
              <w:widowControl/>
              <w:jc w:val="center"/>
              <w:rPr>
                <w:rFonts w:ascii="宋体" w:hAnsi="宋体" w:eastAsia="宋体" w:cs="微软雅黑 Light"/>
                <w:b/>
                <w:kern w:val="0"/>
                <w:sz w:val="24"/>
                <w:shd w:val="clear" w:color="auto" w:fill="FFFFFF"/>
              </w:rPr>
            </w:pPr>
          </w:p>
        </w:tc>
        <w:tc>
          <w:tcPr>
            <w:tcW w:w="2410" w:type="dxa"/>
            <w:vMerge w:val="continue"/>
            <w:tcBorders>
              <w:left w:val="nil"/>
              <w:bottom w:val="single" w:color="000000" w:sz="4" w:space="0"/>
              <w:right w:val="single" w:color="auto" w:sz="4" w:space="0"/>
            </w:tcBorders>
            <w:vAlign w:val="center"/>
          </w:tcPr>
          <w:p>
            <w:pPr>
              <w:widowControl/>
              <w:jc w:val="center"/>
              <w:rPr>
                <w:rFonts w:ascii="宋体" w:hAnsi="宋体" w:eastAsia="宋体" w:cs="微软雅黑 Light"/>
                <w:b/>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A</w:t>
            </w:r>
          </w:p>
        </w:tc>
        <w:tc>
          <w:tcPr>
            <w:tcW w:w="506"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B</w:t>
            </w:r>
          </w:p>
        </w:tc>
        <w:tc>
          <w:tcPr>
            <w:tcW w:w="506"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C</w:t>
            </w:r>
          </w:p>
        </w:tc>
        <w:tc>
          <w:tcPr>
            <w:tcW w:w="507"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A</w:t>
            </w:r>
          </w:p>
        </w:tc>
        <w:tc>
          <w:tcPr>
            <w:tcW w:w="506"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B</w:t>
            </w:r>
          </w:p>
        </w:tc>
        <w:tc>
          <w:tcPr>
            <w:tcW w:w="506"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C</w:t>
            </w:r>
          </w:p>
        </w:tc>
        <w:tc>
          <w:tcPr>
            <w:tcW w:w="507"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A</w:t>
            </w:r>
          </w:p>
        </w:tc>
        <w:tc>
          <w:tcPr>
            <w:tcW w:w="506"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B</w:t>
            </w:r>
          </w:p>
        </w:tc>
        <w:tc>
          <w:tcPr>
            <w:tcW w:w="506"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C</w:t>
            </w:r>
          </w:p>
        </w:tc>
        <w:tc>
          <w:tcPr>
            <w:tcW w:w="506"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A</w:t>
            </w:r>
          </w:p>
        </w:tc>
        <w:tc>
          <w:tcPr>
            <w:tcW w:w="507"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B</w:t>
            </w:r>
          </w:p>
        </w:tc>
        <w:tc>
          <w:tcPr>
            <w:tcW w:w="506"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C</w:t>
            </w:r>
          </w:p>
        </w:tc>
        <w:tc>
          <w:tcPr>
            <w:tcW w:w="506"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A</w:t>
            </w:r>
          </w:p>
        </w:tc>
        <w:tc>
          <w:tcPr>
            <w:tcW w:w="507"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B</w:t>
            </w:r>
          </w:p>
        </w:tc>
        <w:tc>
          <w:tcPr>
            <w:tcW w:w="506"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C</w:t>
            </w:r>
          </w:p>
        </w:tc>
        <w:tc>
          <w:tcPr>
            <w:tcW w:w="506"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A</w:t>
            </w:r>
          </w:p>
        </w:tc>
        <w:tc>
          <w:tcPr>
            <w:tcW w:w="506"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B</w:t>
            </w:r>
          </w:p>
        </w:tc>
        <w:tc>
          <w:tcPr>
            <w:tcW w:w="507"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C</w:t>
            </w:r>
          </w:p>
        </w:tc>
        <w:tc>
          <w:tcPr>
            <w:tcW w:w="506"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A</w:t>
            </w:r>
          </w:p>
        </w:tc>
        <w:tc>
          <w:tcPr>
            <w:tcW w:w="506"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B</w:t>
            </w:r>
          </w:p>
        </w:tc>
        <w:tc>
          <w:tcPr>
            <w:tcW w:w="507"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微软雅黑 Light"/>
                <w:b/>
                <w:kern w:val="0"/>
                <w:sz w:val="24"/>
              </w:rPr>
            </w:pPr>
            <w:r>
              <w:rPr>
                <w:rFonts w:ascii="宋体" w:hAnsi="宋体" w:eastAsia="宋体" w:cs="微软雅黑 Light"/>
                <w:b/>
                <w:kern w:val="0"/>
                <w:sz w:val="24"/>
              </w:rPr>
              <w:t>C</w:t>
            </w:r>
          </w:p>
        </w:tc>
      </w:tr>
      <w:tr>
        <w:tblPrEx>
          <w:tblCellMar>
            <w:top w:w="0" w:type="dxa"/>
            <w:left w:w="108" w:type="dxa"/>
            <w:bottom w:w="0" w:type="dxa"/>
            <w:right w:w="108" w:type="dxa"/>
          </w:tblCellMar>
        </w:tblPrEx>
        <w:trPr>
          <w:trHeight w:val="705" w:hRule="atLeast"/>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微软雅黑 Light"/>
                <w:kern w:val="0"/>
                <w:sz w:val="24"/>
                <w:shd w:val="clear" w:color="auto" w:fill="FFFFFF"/>
              </w:rPr>
            </w:pPr>
            <w:r>
              <w:rPr>
                <w:rFonts w:ascii="宋体" w:hAnsi="宋体" w:cs="微软雅黑 Light"/>
                <w:kern w:val="0"/>
                <w:sz w:val="24"/>
                <w:shd w:val="clear" w:color="auto" w:fill="FFFFFF"/>
              </w:rPr>
              <w:t>1</w:t>
            </w:r>
          </w:p>
        </w:tc>
        <w:tc>
          <w:tcPr>
            <w:tcW w:w="1270" w:type="dxa"/>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微软雅黑 Light"/>
                <w:color w:val="000000"/>
                <w:kern w:val="0"/>
                <w:sz w:val="24"/>
                <w:shd w:val="clear" w:color="auto" w:fill="FFFFFF"/>
              </w:rPr>
            </w:pPr>
            <w:r>
              <w:rPr>
                <w:rFonts w:hint="eastAsia" w:ascii="宋体" w:hAnsi="宋体" w:eastAsia="宋体" w:cs="微软雅黑 Light"/>
                <w:color w:val="000000"/>
                <w:kern w:val="0"/>
                <w:sz w:val="24"/>
                <w:shd w:val="clear" w:color="auto" w:fill="FFFFFF"/>
              </w:rPr>
              <w:t>实验室安全自查表</w:t>
            </w:r>
            <w:r>
              <w:rPr>
                <w:rFonts w:hint="eastAsia" w:ascii="宋体" w:hAnsi="宋体" w:eastAsia="宋体" w:cs="微软雅黑 Light"/>
                <w:kern w:val="0"/>
                <w:sz w:val="24"/>
                <w:shd w:val="clear" w:color="auto" w:fill="FFFFFF"/>
              </w:rPr>
              <w:t>（</w:t>
            </w:r>
            <w:r>
              <w:rPr>
                <w:rFonts w:ascii="宋体" w:hAnsi="宋体" w:cs="微软雅黑 Light"/>
                <w:kern w:val="0"/>
                <w:sz w:val="24"/>
                <w:shd w:val="clear" w:color="auto" w:fill="FFFFFF"/>
              </w:rPr>
              <w:t>20</w:t>
            </w:r>
            <w:r>
              <w:rPr>
                <w:rFonts w:hint="eastAsia" w:ascii="宋体" w:hAnsi="宋体" w:eastAsia="宋体" w:cs="微软雅黑 Light"/>
                <w:kern w:val="0"/>
                <w:sz w:val="24"/>
                <w:shd w:val="clear" w:color="auto" w:fill="FFFFFF"/>
              </w:rPr>
              <w:t>分）</w:t>
            </w:r>
          </w:p>
        </w:tc>
        <w:tc>
          <w:tcPr>
            <w:tcW w:w="2410" w:type="dxa"/>
            <w:tcBorders>
              <w:top w:val="single" w:color="000000" w:sz="4" w:space="0"/>
              <w:left w:val="nil"/>
              <w:bottom w:val="single" w:color="000000" w:sz="4" w:space="0"/>
              <w:right w:val="single" w:color="auto" w:sz="4" w:space="0"/>
            </w:tcBorders>
            <w:vAlign w:val="center"/>
          </w:tcPr>
          <w:p>
            <w:pPr>
              <w:widowControl/>
              <w:jc w:val="left"/>
              <w:rPr>
                <w:rFonts w:ascii="宋体" w:hAnsi="宋体" w:eastAsia="宋体" w:cs="微软雅黑 Light"/>
                <w:color w:val="000000"/>
                <w:kern w:val="0"/>
                <w:sz w:val="24"/>
              </w:rPr>
            </w:pPr>
            <w:r>
              <w:rPr>
                <w:rFonts w:ascii="宋体" w:hAnsi="宋体" w:eastAsia="宋体" w:cs="微软雅黑 Light"/>
                <w:color w:val="000000"/>
                <w:kern w:val="0"/>
                <w:sz w:val="24"/>
              </w:rPr>
              <w:t>签字</w:t>
            </w:r>
            <w:r>
              <w:rPr>
                <w:rFonts w:hint="eastAsia" w:ascii="宋体" w:hAnsi="宋体" w:eastAsia="宋体" w:cs="微软雅黑 Light"/>
                <w:color w:val="000000"/>
                <w:kern w:val="0"/>
                <w:sz w:val="24"/>
              </w:rPr>
              <w:t>盖章</w:t>
            </w:r>
            <w:r>
              <w:rPr>
                <w:rFonts w:ascii="宋体" w:hAnsi="宋体" w:eastAsia="宋体" w:cs="微软雅黑 Light"/>
                <w:color w:val="000000"/>
                <w:kern w:val="0"/>
                <w:sz w:val="24"/>
              </w:rPr>
              <w:t>、</w:t>
            </w:r>
            <w:r>
              <w:rPr>
                <w:rFonts w:hint="eastAsia" w:ascii="宋体" w:hAnsi="宋体" w:cs="微软雅黑 Light"/>
                <w:color w:val="000000"/>
                <w:kern w:val="0"/>
                <w:sz w:val="24"/>
              </w:rPr>
              <w:t>真实</w:t>
            </w:r>
            <w:r>
              <w:rPr>
                <w:rFonts w:ascii="宋体" w:hAnsi="宋体" w:cs="微软雅黑 Light"/>
                <w:color w:val="000000"/>
                <w:kern w:val="0"/>
                <w:sz w:val="24"/>
              </w:rPr>
              <w:t>可信</w:t>
            </w:r>
            <w:r>
              <w:rPr>
                <w:rFonts w:hint="eastAsia" w:ascii="宋体" w:hAnsi="宋体" w:eastAsia="宋体" w:cs="微软雅黑 Light"/>
                <w:color w:val="000000"/>
                <w:kern w:val="0"/>
                <w:sz w:val="24"/>
              </w:rPr>
              <w:t>，能提供支撑材料</w:t>
            </w: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eastAsia="宋体" w:cs="微软雅黑 Light"/>
                <w:kern w:val="0"/>
                <w:sz w:val="24"/>
              </w:rPr>
            </w:pPr>
          </w:p>
        </w:tc>
        <w:tc>
          <w:tcPr>
            <w:tcW w:w="507"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kern w:val="0"/>
                <w:sz w:val="24"/>
              </w:rPr>
            </w:pPr>
          </w:p>
        </w:tc>
        <w:tc>
          <w:tcPr>
            <w:tcW w:w="507"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eastAsia="宋体" w:cs="微软雅黑 Light"/>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微软雅黑 Light"/>
                <w:kern w:val="0"/>
                <w:sz w:val="24"/>
              </w:rPr>
            </w:pPr>
          </w:p>
        </w:tc>
        <w:tc>
          <w:tcPr>
            <w:tcW w:w="507"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微软雅黑 Light"/>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微软雅黑 Light"/>
                <w:kern w:val="0"/>
                <w:sz w:val="24"/>
              </w:rPr>
            </w:pPr>
          </w:p>
        </w:tc>
        <w:tc>
          <w:tcPr>
            <w:tcW w:w="506"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kern w:val="0"/>
                <w:sz w:val="24"/>
              </w:rPr>
            </w:pPr>
          </w:p>
        </w:tc>
        <w:tc>
          <w:tcPr>
            <w:tcW w:w="507"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kern w:val="0"/>
                <w:sz w:val="24"/>
              </w:rPr>
            </w:pPr>
          </w:p>
        </w:tc>
        <w:tc>
          <w:tcPr>
            <w:tcW w:w="506"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kern w:val="0"/>
                <w:sz w:val="24"/>
              </w:rPr>
            </w:pPr>
          </w:p>
        </w:tc>
        <w:tc>
          <w:tcPr>
            <w:tcW w:w="507"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kern w:val="0"/>
                <w:sz w:val="24"/>
              </w:rPr>
            </w:pPr>
          </w:p>
        </w:tc>
        <w:tc>
          <w:tcPr>
            <w:tcW w:w="507"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kern w:val="0"/>
                <w:sz w:val="24"/>
              </w:rPr>
            </w:pPr>
          </w:p>
        </w:tc>
      </w:tr>
      <w:tr>
        <w:tblPrEx>
          <w:tblCellMar>
            <w:top w:w="0" w:type="dxa"/>
            <w:left w:w="108" w:type="dxa"/>
            <w:bottom w:w="0" w:type="dxa"/>
            <w:right w:w="108" w:type="dxa"/>
          </w:tblCellMar>
        </w:tblPrEx>
        <w:trPr>
          <w:trHeight w:val="847" w:hRule="atLeast"/>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微软雅黑 Light"/>
                <w:kern w:val="0"/>
                <w:sz w:val="24"/>
                <w:shd w:val="clear" w:color="auto" w:fill="FFFFFF"/>
              </w:rPr>
            </w:pPr>
            <w:r>
              <w:rPr>
                <w:rFonts w:ascii="宋体" w:hAnsi="宋体" w:cs="微软雅黑 Light"/>
                <w:kern w:val="0"/>
                <w:sz w:val="24"/>
                <w:shd w:val="clear" w:color="auto" w:fill="FFFFFF"/>
              </w:rPr>
              <w:t>2</w:t>
            </w:r>
          </w:p>
        </w:tc>
        <w:tc>
          <w:tcPr>
            <w:tcW w:w="1270" w:type="dxa"/>
            <w:tcBorders>
              <w:top w:val="single" w:color="000000" w:sz="4" w:space="0"/>
              <w:left w:val="nil"/>
              <w:bottom w:val="single" w:color="000000" w:sz="4" w:space="0"/>
              <w:right w:val="single" w:color="000000" w:sz="4" w:space="0"/>
            </w:tcBorders>
            <w:vAlign w:val="center"/>
          </w:tcPr>
          <w:p>
            <w:pPr>
              <w:widowControl/>
              <w:jc w:val="left"/>
              <w:rPr>
                <w:rFonts w:ascii="宋体" w:hAnsi="宋体" w:cs="微软雅黑 Light"/>
                <w:color w:val="000000"/>
                <w:kern w:val="0"/>
                <w:sz w:val="24"/>
                <w:shd w:val="clear" w:color="auto" w:fill="FFFFFF"/>
              </w:rPr>
            </w:pPr>
            <w:r>
              <w:rPr>
                <w:rFonts w:hint="eastAsia" w:ascii="宋体" w:hAnsi="宋体" w:cs="微软雅黑 Light"/>
                <w:color w:val="000000"/>
                <w:kern w:val="0"/>
                <w:sz w:val="24"/>
                <w:shd w:val="clear" w:color="auto" w:fill="FFFFFF"/>
              </w:rPr>
              <w:t>安全自查自纠报告</w:t>
            </w:r>
          </w:p>
          <w:p>
            <w:pPr>
              <w:widowControl/>
              <w:jc w:val="left"/>
              <w:rPr>
                <w:rFonts w:ascii="宋体" w:hAnsi="宋体" w:eastAsia="宋体" w:cs="微软雅黑 Light"/>
                <w:color w:val="000000"/>
                <w:kern w:val="0"/>
                <w:sz w:val="24"/>
                <w:shd w:val="clear" w:color="auto" w:fill="FFFFFF"/>
              </w:rPr>
            </w:pPr>
            <w:r>
              <w:rPr>
                <w:rFonts w:hint="eastAsia" w:ascii="宋体" w:hAnsi="宋体" w:eastAsia="宋体" w:cs="微软雅黑 Light"/>
                <w:color w:val="000000"/>
                <w:kern w:val="0"/>
                <w:sz w:val="24"/>
                <w:shd w:val="clear" w:color="auto" w:fill="FFFFFF"/>
              </w:rPr>
              <w:t>（</w:t>
            </w:r>
            <w:r>
              <w:rPr>
                <w:rFonts w:ascii="宋体" w:hAnsi="宋体" w:cs="微软雅黑 Light"/>
                <w:color w:val="000000"/>
                <w:kern w:val="0"/>
                <w:sz w:val="24"/>
                <w:shd w:val="clear" w:color="auto" w:fill="FFFFFF"/>
              </w:rPr>
              <w:t>2</w:t>
            </w:r>
            <w:r>
              <w:rPr>
                <w:rFonts w:hint="eastAsia" w:ascii="宋体" w:hAnsi="宋体" w:eastAsia="宋体" w:cs="微软雅黑 Light"/>
                <w:color w:val="000000"/>
                <w:kern w:val="0"/>
                <w:sz w:val="24"/>
                <w:shd w:val="clear" w:color="auto" w:fill="FFFFFF"/>
              </w:rPr>
              <w:t>0分）</w:t>
            </w:r>
          </w:p>
        </w:tc>
        <w:tc>
          <w:tcPr>
            <w:tcW w:w="2410" w:type="dxa"/>
            <w:tcBorders>
              <w:top w:val="single" w:color="000000" w:sz="4" w:space="0"/>
              <w:left w:val="nil"/>
              <w:bottom w:val="single" w:color="000000" w:sz="4" w:space="0"/>
              <w:right w:val="single" w:color="auto" w:sz="4" w:space="0"/>
            </w:tcBorders>
            <w:vAlign w:val="center"/>
          </w:tcPr>
          <w:p>
            <w:pPr>
              <w:widowControl/>
              <w:jc w:val="left"/>
              <w:rPr>
                <w:rFonts w:ascii="宋体" w:hAnsi="宋体" w:eastAsia="宋体" w:cs="微软雅黑 Light"/>
                <w:color w:val="000000"/>
                <w:kern w:val="0"/>
                <w:sz w:val="24"/>
              </w:rPr>
            </w:pPr>
            <w:r>
              <w:rPr>
                <w:rFonts w:hint="eastAsia" w:ascii="宋体" w:hAnsi="宋体" w:eastAsia="宋体" w:cs="微软雅黑 Light"/>
                <w:color w:val="000000"/>
                <w:kern w:val="0"/>
                <w:sz w:val="24"/>
              </w:rPr>
              <w:t>撰写认真，能投入精力提炼，针对隐患有可行可期的解决方案</w:t>
            </w: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eastAsia="宋体" w:cs="微软雅黑 Light"/>
                <w:color w:val="FF0000"/>
                <w:kern w:val="0"/>
                <w:sz w:val="24"/>
              </w:rPr>
            </w:pPr>
          </w:p>
        </w:tc>
        <w:tc>
          <w:tcPr>
            <w:tcW w:w="507"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7"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微软雅黑 Light"/>
                <w:color w:val="FF0000"/>
                <w:kern w:val="0"/>
                <w:sz w:val="24"/>
              </w:rPr>
            </w:pPr>
          </w:p>
        </w:tc>
        <w:tc>
          <w:tcPr>
            <w:tcW w:w="507"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color w:val="FF0000"/>
                <w:kern w:val="0"/>
                <w:sz w:val="24"/>
              </w:rPr>
            </w:pPr>
          </w:p>
        </w:tc>
        <w:tc>
          <w:tcPr>
            <w:tcW w:w="507"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color w:val="FF0000"/>
                <w:kern w:val="0"/>
                <w:sz w:val="24"/>
              </w:rPr>
            </w:pPr>
          </w:p>
        </w:tc>
        <w:tc>
          <w:tcPr>
            <w:tcW w:w="507"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color w:val="FF0000"/>
                <w:kern w:val="0"/>
                <w:sz w:val="24"/>
              </w:rPr>
            </w:pPr>
          </w:p>
        </w:tc>
        <w:tc>
          <w:tcPr>
            <w:tcW w:w="507"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color w:val="FF0000"/>
                <w:kern w:val="0"/>
                <w:sz w:val="24"/>
              </w:rPr>
            </w:pPr>
          </w:p>
        </w:tc>
      </w:tr>
      <w:tr>
        <w:tblPrEx>
          <w:tblCellMar>
            <w:top w:w="0" w:type="dxa"/>
            <w:left w:w="108" w:type="dxa"/>
            <w:bottom w:w="0" w:type="dxa"/>
            <w:right w:w="108" w:type="dxa"/>
          </w:tblCellMar>
        </w:tblPrEx>
        <w:trPr>
          <w:trHeight w:val="1072" w:hRule="atLeast"/>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微软雅黑 Light"/>
                <w:kern w:val="0"/>
                <w:sz w:val="24"/>
                <w:shd w:val="clear" w:color="auto" w:fill="FFFFFF"/>
              </w:rPr>
            </w:pPr>
            <w:r>
              <w:rPr>
                <w:rFonts w:ascii="宋体" w:hAnsi="宋体" w:cs="微软雅黑 Light"/>
                <w:kern w:val="0"/>
                <w:sz w:val="24"/>
                <w:shd w:val="clear" w:color="auto" w:fill="FFFFFF"/>
              </w:rPr>
              <w:t>3</w:t>
            </w:r>
          </w:p>
        </w:tc>
        <w:tc>
          <w:tcPr>
            <w:tcW w:w="127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微软雅黑 Light"/>
                <w:color w:val="000000"/>
                <w:kern w:val="0"/>
                <w:sz w:val="24"/>
                <w:shd w:val="clear" w:color="auto" w:fill="FFFFFF"/>
              </w:rPr>
            </w:pPr>
            <w:r>
              <w:rPr>
                <w:rFonts w:hint="eastAsia" w:ascii="宋体" w:hAnsi="宋体" w:eastAsia="宋体" w:cs="微软雅黑 Light"/>
                <w:color w:val="000000"/>
                <w:kern w:val="0"/>
                <w:sz w:val="24"/>
                <w:shd w:val="clear" w:color="auto" w:fill="FFFFFF"/>
              </w:rPr>
              <w:t>安全警示</w:t>
            </w:r>
          </w:p>
          <w:p>
            <w:pPr>
              <w:widowControl/>
              <w:jc w:val="left"/>
              <w:rPr>
                <w:rFonts w:ascii="宋体" w:hAnsi="宋体" w:eastAsia="宋体" w:cs="微软雅黑 Light"/>
                <w:color w:val="000000"/>
                <w:kern w:val="0"/>
                <w:sz w:val="24"/>
                <w:shd w:val="clear" w:color="auto" w:fill="FFFFFF"/>
              </w:rPr>
            </w:pPr>
            <w:r>
              <w:rPr>
                <w:rFonts w:hint="eastAsia" w:ascii="宋体" w:hAnsi="宋体" w:eastAsia="宋体" w:cs="微软雅黑 Light"/>
                <w:color w:val="000000"/>
                <w:kern w:val="0"/>
                <w:sz w:val="24"/>
                <w:shd w:val="clear" w:color="auto" w:fill="FFFFFF"/>
              </w:rPr>
              <w:t>（</w:t>
            </w:r>
            <w:r>
              <w:rPr>
                <w:rFonts w:ascii="宋体" w:hAnsi="宋体" w:cs="微软雅黑 Light"/>
                <w:color w:val="000000"/>
                <w:kern w:val="0"/>
                <w:sz w:val="24"/>
                <w:shd w:val="clear" w:color="auto" w:fill="FFFFFF"/>
              </w:rPr>
              <w:t>2</w:t>
            </w:r>
            <w:r>
              <w:rPr>
                <w:rFonts w:hint="eastAsia" w:ascii="宋体" w:hAnsi="宋体" w:eastAsia="宋体" w:cs="微软雅黑 Light"/>
                <w:color w:val="000000"/>
                <w:kern w:val="0"/>
                <w:sz w:val="24"/>
                <w:shd w:val="clear" w:color="auto" w:fill="FFFFFF"/>
              </w:rPr>
              <w:t>0分）</w:t>
            </w:r>
          </w:p>
        </w:tc>
        <w:tc>
          <w:tcPr>
            <w:tcW w:w="2410" w:type="dxa"/>
            <w:tcBorders>
              <w:top w:val="single" w:color="000000" w:sz="4" w:space="0"/>
              <w:left w:val="nil"/>
              <w:bottom w:val="single" w:color="000000" w:sz="4" w:space="0"/>
              <w:right w:val="single" w:color="auto" w:sz="4" w:space="0"/>
            </w:tcBorders>
            <w:vAlign w:val="center"/>
          </w:tcPr>
          <w:p>
            <w:pPr>
              <w:widowControl/>
              <w:jc w:val="left"/>
              <w:rPr>
                <w:rFonts w:ascii="宋体" w:hAnsi="宋体" w:eastAsia="宋体" w:cs="微软雅黑 Light"/>
                <w:color w:val="000000"/>
                <w:kern w:val="0"/>
                <w:sz w:val="24"/>
              </w:rPr>
            </w:pPr>
            <w:r>
              <w:rPr>
                <w:rFonts w:hint="eastAsia" w:ascii="宋体" w:hAnsi="宋体" w:eastAsia="宋体" w:cs="微软雅黑 Light"/>
                <w:color w:val="000000"/>
                <w:kern w:val="0"/>
                <w:sz w:val="24"/>
              </w:rPr>
              <w:t>是否按要求悬挂警示标志，危险源安全警示是否标识，安全操作规程是否上墙</w:t>
            </w: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eastAsia="宋体" w:cs="微软雅黑 Light"/>
                <w:color w:val="FF0000"/>
                <w:kern w:val="0"/>
                <w:sz w:val="24"/>
              </w:rPr>
            </w:pPr>
          </w:p>
        </w:tc>
        <w:tc>
          <w:tcPr>
            <w:tcW w:w="507"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7"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微软雅黑 Light"/>
                <w:color w:val="FF0000"/>
                <w:kern w:val="0"/>
                <w:sz w:val="24"/>
              </w:rPr>
            </w:pPr>
          </w:p>
        </w:tc>
        <w:tc>
          <w:tcPr>
            <w:tcW w:w="507"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color w:val="FF0000"/>
                <w:kern w:val="0"/>
                <w:sz w:val="24"/>
              </w:rPr>
            </w:pPr>
          </w:p>
        </w:tc>
        <w:tc>
          <w:tcPr>
            <w:tcW w:w="507"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color w:val="FF0000"/>
                <w:kern w:val="0"/>
                <w:sz w:val="24"/>
              </w:rPr>
            </w:pPr>
          </w:p>
        </w:tc>
        <w:tc>
          <w:tcPr>
            <w:tcW w:w="507"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color w:val="FF0000"/>
                <w:kern w:val="0"/>
                <w:sz w:val="24"/>
              </w:rPr>
            </w:pPr>
          </w:p>
        </w:tc>
        <w:tc>
          <w:tcPr>
            <w:tcW w:w="507"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color w:val="FF0000"/>
                <w:kern w:val="0"/>
                <w:sz w:val="24"/>
              </w:rPr>
            </w:pPr>
          </w:p>
        </w:tc>
      </w:tr>
      <w:tr>
        <w:tblPrEx>
          <w:tblCellMar>
            <w:top w:w="0" w:type="dxa"/>
            <w:left w:w="108" w:type="dxa"/>
            <w:bottom w:w="0" w:type="dxa"/>
            <w:right w:w="108" w:type="dxa"/>
          </w:tblCellMar>
        </w:tblPrEx>
        <w:trPr>
          <w:trHeight w:val="381" w:hRule="atLeast"/>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微软雅黑 Light"/>
                <w:kern w:val="0"/>
                <w:sz w:val="24"/>
                <w:shd w:val="clear" w:color="auto" w:fill="FFFFFF"/>
              </w:rPr>
            </w:pPr>
            <w:r>
              <w:rPr>
                <w:rFonts w:ascii="宋体" w:hAnsi="宋体" w:cs="微软雅黑 Light"/>
                <w:kern w:val="0"/>
                <w:sz w:val="24"/>
                <w:shd w:val="clear" w:color="auto" w:fill="FFFFFF"/>
              </w:rPr>
              <w:t>4</w:t>
            </w:r>
          </w:p>
        </w:tc>
        <w:tc>
          <w:tcPr>
            <w:tcW w:w="1270" w:type="dxa"/>
            <w:tcBorders>
              <w:top w:val="single" w:color="000000" w:sz="4" w:space="0"/>
              <w:left w:val="nil"/>
              <w:bottom w:val="single" w:color="000000" w:sz="4" w:space="0"/>
              <w:right w:val="single" w:color="000000" w:sz="4" w:space="0"/>
            </w:tcBorders>
            <w:vAlign w:val="center"/>
          </w:tcPr>
          <w:p>
            <w:pPr>
              <w:widowControl/>
              <w:jc w:val="left"/>
              <w:rPr>
                <w:rFonts w:ascii="宋体" w:hAnsi="宋体" w:cs="微软雅黑 Light"/>
                <w:color w:val="000000"/>
                <w:kern w:val="0"/>
                <w:sz w:val="24"/>
                <w:shd w:val="clear" w:color="auto" w:fill="FFFFFF"/>
              </w:rPr>
            </w:pPr>
            <w:r>
              <w:rPr>
                <w:rFonts w:hint="eastAsia" w:ascii="宋体" w:hAnsi="宋体" w:eastAsia="宋体" w:cs="微软雅黑 Light"/>
                <w:color w:val="000000"/>
                <w:kern w:val="0"/>
                <w:sz w:val="24"/>
                <w:shd w:val="clear" w:color="auto" w:fill="FFFFFF"/>
              </w:rPr>
              <w:t>安全</w:t>
            </w:r>
            <w:r>
              <w:rPr>
                <w:rFonts w:hint="eastAsia" w:ascii="宋体" w:hAnsi="宋体" w:cs="微软雅黑 Light"/>
                <w:color w:val="000000"/>
                <w:kern w:val="0"/>
                <w:sz w:val="24"/>
                <w:shd w:val="clear" w:color="auto" w:fill="FFFFFF"/>
              </w:rPr>
              <w:t>防护</w:t>
            </w:r>
          </w:p>
          <w:p>
            <w:pPr>
              <w:widowControl/>
              <w:jc w:val="left"/>
              <w:rPr>
                <w:rFonts w:ascii="宋体" w:hAnsi="宋体" w:eastAsia="宋体" w:cs="微软雅黑 Light"/>
                <w:color w:val="FF0000"/>
                <w:kern w:val="0"/>
                <w:sz w:val="24"/>
                <w:shd w:val="clear" w:color="auto" w:fill="FFFFFF"/>
              </w:rPr>
            </w:pPr>
            <w:r>
              <w:rPr>
                <w:rFonts w:hint="eastAsia" w:ascii="宋体" w:hAnsi="宋体" w:eastAsia="宋体" w:cs="微软雅黑 Light"/>
                <w:color w:val="000000"/>
                <w:kern w:val="0"/>
                <w:sz w:val="24"/>
                <w:shd w:val="clear" w:color="auto" w:fill="FFFFFF"/>
              </w:rPr>
              <w:t>（</w:t>
            </w:r>
            <w:r>
              <w:rPr>
                <w:rFonts w:ascii="宋体" w:hAnsi="宋体" w:cs="微软雅黑 Light"/>
                <w:color w:val="000000"/>
                <w:kern w:val="0"/>
                <w:sz w:val="24"/>
                <w:shd w:val="clear" w:color="auto" w:fill="FFFFFF"/>
              </w:rPr>
              <w:t>2</w:t>
            </w:r>
            <w:r>
              <w:rPr>
                <w:rFonts w:hint="eastAsia" w:ascii="宋体" w:hAnsi="宋体" w:eastAsia="宋体" w:cs="微软雅黑 Light"/>
                <w:color w:val="000000"/>
                <w:kern w:val="0"/>
                <w:sz w:val="24"/>
                <w:shd w:val="clear" w:color="auto" w:fill="FFFFFF"/>
              </w:rPr>
              <w:t>0分）</w:t>
            </w:r>
          </w:p>
        </w:tc>
        <w:tc>
          <w:tcPr>
            <w:tcW w:w="2410" w:type="dxa"/>
            <w:tcBorders>
              <w:top w:val="single" w:color="000000" w:sz="4" w:space="0"/>
              <w:left w:val="nil"/>
              <w:bottom w:val="single" w:color="000000" w:sz="4" w:space="0"/>
              <w:right w:val="single" w:color="auto" w:sz="4" w:space="0"/>
            </w:tcBorders>
            <w:vAlign w:val="center"/>
          </w:tcPr>
          <w:p>
            <w:pPr>
              <w:widowControl/>
              <w:jc w:val="left"/>
              <w:rPr>
                <w:rFonts w:ascii="宋体" w:hAnsi="宋体" w:eastAsia="宋体" w:cs="微软雅黑 Light"/>
                <w:color w:val="000000"/>
                <w:kern w:val="0"/>
                <w:sz w:val="24"/>
              </w:rPr>
            </w:pPr>
            <w:r>
              <w:rPr>
                <w:rFonts w:hint="eastAsia" w:ascii="宋体" w:hAnsi="宋体" w:eastAsia="宋体" w:cs="微软雅黑 Light"/>
                <w:color w:val="000000"/>
                <w:kern w:val="0"/>
                <w:sz w:val="24"/>
              </w:rPr>
              <w:t>文件中所涉及的安全防护是否到位</w:t>
            </w: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eastAsia="宋体" w:cs="微软雅黑 Light"/>
                <w:color w:val="FF0000"/>
                <w:kern w:val="0"/>
                <w:sz w:val="24"/>
              </w:rPr>
            </w:pPr>
          </w:p>
        </w:tc>
        <w:tc>
          <w:tcPr>
            <w:tcW w:w="507"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7"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eastAsia="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微软雅黑 Light"/>
                <w:color w:val="FF0000"/>
                <w:kern w:val="0"/>
                <w:sz w:val="24"/>
              </w:rPr>
            </w:pPr>
          </w:p>
        </w:tc>
        <w:tc>
          <w:tcPr>
            <w:tcW w:w="507"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color w:val="FF0000"/>
                <w:kern w:val="0"/>
                <w:sz w:val="24"/>
              </w:rPr>
            </w:pPr>
          </w:p>
        </w:tc>
        <w:tc>
          <w:tcPr>
            <w:tcW w:w="507"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color w:val="FF0000"/>
                <w:kern w:val="0"/>
                <w:sz w:val="24"/>
              </w:rPr>
            </w:pPr>
          </w:p>
        </w:tc>
        <w:tc>
          <w:tcPr>
            <w:tcW w:w="507"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color w:val="FF0000"/>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color w:val="FF0000"/>
                <w:kern w:val="0"/>
                <w:sz w:val="24"/>
              </w:rPr>
            </w:pPr>
          </w:p>
        </w:tc>
        <w:tc>
          <w:tcPr>
            <w:tcW w:w="507"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color w:val="FF0000"/>
                <w:kern w:val="0"/>
                <w:sz w:val="24"/>
              </w:rPr>
            </w:pPr>
          </w:p>
        </w:tc>
      </w:tr>
      <w:tr>
        <w:tblPrEx>
          <w:tblCellMar>
            <w:top w:w="0" w:type="dxa"/>
            <w:left w:w="108" w:type="dxa"/>
            <w:bottom w:w="0" w:type="dxa"/>
            <w:right w:w="108" w:type="dxa"/>
          </w:tblCellMar>
        </w:tblPrEx>
        <w:trPr>
          <w:trHeight w:val="461" w:hRule="atLeast"/>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微软雅黑 Light"/>
                <w:kern w:val="0"/>
                <w:sz w:val="24"/>
                <w:shd w:val="clear" w:color="auto" w:fill="FFFFFF"/>
              </w:rPr>
            </w:pPr>
            <w:r>
              <w:rPr>
                <w:rFonts w:ascii="宋体" w:hAnsi="宋体" w:cs="微软雅黑 Light"/>
                <w:kern w:val="0"/>
                <w:sz w:val="24"/>
                <w:shd w:val="clear" w:color="auto" w:fill="FFFFFF"/>
              </w:rPr>
              <w:t>5</w:t>
            </w:r>
          </w:p>
        </w:tc>
        <w:tc>
          <w:tcPr>
            <w:tcW w:w="1270" w:type="dxa"/>
            <w:tcBorders>
              <w:top w:val="single" w:color="000000" w:sz="4" w:space="0"/>
              <w:left w:val="nil"/>
              <w:bottom w:val="single" w:color="000000" w:sz="4" w:space="0"/>
              <w:right w:val="single" w:color="000000" w:sz="4" w:space="0"/>
            </w:tcBorders>
            <w:vAlign w:val="center"/>
          </w:tcPr>
          <w:p>
            <w:pPr>
              <w:widowControl/>
              <w:jc w:val="left"/>
              <w:rPr>
                <w:rFonts w:ascii="宋体" w:hAnsi="宋体" w:cs="微软雅黑 Light"/>
                <w:kern w:val="0"/>
                <w:sz w:val="24"/>
                <w:shd w:val="clear" w:color="auto" w:fill="FFFFFF"/>
              </w:rPr>
            </w:pPr>
            <w:r>
              <w:rPr>
                <w:rFonts w:hint="eastAsia" w:ascii="宋体" w:hAnsi="宋体" w:eastAsia="宋体" w:cs="微软雅黑 Light"/>
                <w:kern w:val="0"/>
                <w:sz w:val="24"/>
                <w:shd w:val="clear" w:color="auto" w:fill="FFFFFF"/>
              </w:rPr>
              <w:t>卫生情况</w:t>
            </w:r>
          </w:p>
          <w:p>
            <w:pPr>
              <w:widowControl/>
              <w:jc w:val="left"/>
              <w:rPr>
                <w:rFonts w:ascii="宋体" w:hAnsi="宋体" w:eastAsia="宋体" w:cs="微软雅黑 Light"/>
                <w:kern w:val="0"/>
                <w:sz w:val="24"/>
                <w:shd w:val="clear" w:color="auto" w:fill="FFFFFF"/>
              </w:rPr>
            </w:pPr>
            <w:r>
              <w:rPr>
                <w:rFonts w:hint="eastAsia" w:ascii="宋体" w:hAnsi="宋体" w:eastAsia="宋体" w:cs="微软雅黑 Light"/>
                <w:kern w:val="0"/>
                <w:sz w:val="24"/>
                <w:shd w:val="clear" w:color="auto" w:fill="FFFFFF"/>
              </w:rPr>
              <w:t>（</w:t>
            </w:r>
            <w:r>
              <w:rPr>
                <w:rFonts w:ascii="宋体" w:hAnsi="宋体" w:cs="微软雅黑 Light"/>
                <w:kern w:val="0"/>
                <w:sz w:val="24"/>
                <w:shd w:val="clear" w:color="auto" w:fill="FFFFFF"/>
              </w:rPr>
              <w:t>2</w:t>
            </w:r>
            <w:r>
              <w:rPr>
                <w:rFonts w:hint="eastAsia" w:ascii="宋体" w:hAnsi="宋体" w:eastAsia="宋体" w:cs="微软雅黑 Light"/>
                <w:kern w:val="0"/>
                <w:sz w:val="24"/>
                <w:shd w:val="clear" w:color="auto" w:fill="FFFFFF"/>
              </w:rPr>
              <w:t>0分）</w:t>
            </w:r>
          </w:p>
        </w:tc>
        <w:tc>
          <w:tcPr>
            <w:tcW w:w="2410" w:type="dxa"/>
            <w:tcBorders>
              <w:top w:val="single" w:color="000000" w:sz="4" w:space="0"/>
              <w:left w:val="nil"/>
              <w:bottom w:val="single" w:color="000000" w:sz="4" w:space="0"/>
              <w:right w:val="single" w:color="auto" w:sz="4" w:space="0"/>
            </w:tcBorders>
            <w:vAlign w:val="center"/>
          </w:tcPr>
          <w:p>
            <w:pPr>
              <w:widowControl/>
              <w:jc w:val="left"/>
              <w:rPr>
                <w:rFonts w:ascii="宋体" w:hAnsi="宋体" w:eastAsia="宋体" w:cs="微软雅黑 Light"/>
                <w:kern w:val="0"/>
                <w:sz w:val="24"/>
              </w:rPr>
            </w:pPr>
            <w:r>
              <w:rPr>
                <w:rFonts w:hint="eastAsia" w:ascii="宋体" w:hAnsi="宋体" w:eastAsia="宋体" w:cs="微软雅黑 Light"/>
                <w:kern w:val="0"/>
                <w:sz w:val="24"/>
              </w:rPr>
              <w:t>实验室环境卫生</w:t>
            </w: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eastAsia="宋体" w:cs="微软雅黑 Light"/>
                <w:kern w:val="0"/>
                <w:sz w:val="24"/>
              </w:rPr>
            </w:pPr>
          </w:p>
        </w:tc>
        <w:tc>
          <w:tcPr>
            <w:tcW w:w="507"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kern w:val="0"/>
                <w:sz w:val="24"/>
              </w:rPr>
            </w:pPr>
          </w:p>
        </w:tc>
        <w:tc>
          <w:tcPr>
            <w:tcW w:w="507"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微软雅黑 Light"/>
                <w:kern w:val="0"/>
                <w:sz w:val="24"/>
              </w:rPr>
            </w:pPr>
          </w:p>
        </w:tc>
        <w:tc>
          <w:tcPr>
            <w:tcW w:w="50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eastAsia="宋体" w:cs="微软雅黑 Light"/>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eastAsia="宋体" w:cs="微软雅黑 Light"/>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微软雅黑 Light"/>
                <w:kern w:val="0"/>
                <w:sz w:val="24"/>
              </w:rPr>
            </w:pPr>
          </w:p>
        </w:tc>
        <w:tc>
          <w:tcPr>
            <w:tcW w:w="507"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微软雅黑 Light"/>
                <w:kern w:val="0"/>
                <w:sz w:val="24"/>
              </w:rPr>
            </w:pPr>
          </w:p>
        </w:tc>
        <w:tc>
          <w:tcPr>
            <w:tcW w:w="50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微软雅黑 Light"/>
                <w:kern w:val="0"/>
                <w:sz w:val="24"/>
              </w:rPr>
            </w:pPr>
          </w:p>
        </w:tc>
        <w:tc>
          <w:tcPr>
            <w:tcW w:w="506"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kern w:val="0"/>
                <w:sz w:val="24"/>
              </w:rPr>
            </w:pPr>
          </w:p>
        </w:tc>
        <w:tc>
          <w:tcPr>
            <w:tcW w:w="507"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kern w:val="0"/>
                <w:sz w:val="24"/>
              </w:rPr>
            </w:pPr>
          </w:p>
        </w:tc>
        <w:tc>
          <w:tcPr>
            <w:tcW w:w="506"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kern w:val="0"/>
                <w:sz w:val="24"/>
              </w:rPr>
            </w:pPr>
          </w:p>
        </w:tc>
        <w:tc>
          <w:tcPr>
            <w:tcW w:w="507"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kern w:val="0"/>
                <w:sz w:val="24"/>
              </w:rPr>
            </w:pPr>
          </w:p>
        </w:tc>
        <w:tc>
          <w:tcPr>
            <w:tcW w:w="506" w:type="dxa"/>
            <w:tcBorders>
              <w:top w:val="single" w:color="000000" w:sz="4" w:space="0"/>
              <w:left w:val="single" w:color="auto" w:sz="4" w:space="0"/>
              <w:bottom w:val="single" w:color="000000" w:sz="4" w:space="0"/>
              <w:right w:val="single" w:color="auto" w:sz="4" w:space="0"/>
            </w:tcBorders>
          </w:tcPr>
          <w:p>
            <w:pPr>
              <w:widowControl/>
              <w:jc w:val="center"/>
              <w:rPr>
                <w:rFonts w:ascii="宋体" w:hAnsi="宋体" w:cs="微软雅黑 Light"/>
                <w:kern w:val="0"/>
                <w:sz w:val="24"/>
              </w:rPr>
            </w:pPr>
          </w:p>
        </w:tc>
        <w:tc>
          <w:tcPr>
            <w:tcW w:w="507" w:type="dxa"/>
            <w:tcBorders>
              <w:top w:val="single" w:color="000000" w:sz="4" w:space="0"/>
              <w:left w:val="single" w:color="auto" w:sz="4" w:space="0"/>
              <w:bottom w:val="single" w:color="000000" w:sz="4" w:space="0"/>
              <w:right w:val="single" w:color="000000" w:sz="4" w:space="0"/>
            </w:tcBorders>
          </w:tcPr>
          <w:p>
            <w:pPr>
              <w:widowControl/>
              <w:jc w:val="center"/>
              <w:rPr>
                <w:rFonts w:ascii="宋体" w:hAnsi="宋体" w:cs="微软雅黑 Light"/>
                <w:kern w:val="0"/>
                <w:sz w:val="24"/>
              </w:rPr>
            </w:pPr>
          </w:p>
        </w:tc>
      </w:tr>
      <w:tr>
        <w:tblPrEx>
          <w:tblCellMar>
            <w:top w:w="0" w:type="dxa"/>
            <w:left w:w="108" w:type="dxa"/>
            <w:bottom w:w="0" w:type="dxa"/>
            <w:right w:w="108" w:type="dxa"/>
          </w:tblCellMar>
        </w:tblPrEx>
        <w:trPr>
          <w:trHeight w:val="952" w:hRule="atLeast"/>
        </w:trPr>
        <w:tc>
          <w:tcPr>
            <w:tcW w:w="4502" w:type="dxa"/>
            <w:gridSpan w:val="3"/>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sz w:val="24"/>
              </w:rPr>
            </w:pPr>
            <w:r>
              <w:rPr>
                <w:rFonts w:hint="eastAsia" w:ascii="宋体" w:hAnsi="宋体"/>
                <w:sz w:val="24"/>
              </w:rPr>
              <w:t>总体评价</w:t>
            </w:r>
          </w:p>
        </w:tc>
        <w:tc>
          <w:tcPr>
            <w:tcW w:w="1518"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微软雅黑 Light"/>
                <w:kern w:val="0"/>
                <w:sz w:val="24"/>
              </w:rPr>
            </w:pPr>
          </w:p>
        </w:tc>
        <w:tc>
          <w:tcPr>
            <w:tcW w:w="1519"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微软雅黑 Light"/>
                <w:kern w:val="0"/>
                <w:sz w:val="24"/>
              </w:rPr>
            </w:pPr>
          </w:p>
        </w:tc>
        <w:tc>
          <w:tcPr>
            <w:tcW w:w="1519"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微软雅黑 Light"/>
                <w:kern w:val="0"/>
                <w:sz w:val="24"/>
              </w:rPr>
            </w:pPr>
          </w:p>
        </w:tc>
        <w:tc>
          <w:tcPr>
            <w:tcW w:w="1519"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微软雅黑 Light"/>
                <w:kern w:val="0"/>
                <w:sz w:val="24"/>
              </w:rPr>
            </w:pPr>
          </w:p>
        </w:tc>
        <w:tc>
          <w:tcPr>
            <w:tcW w:w="1519"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微软雅黑 Light"/>
                <w:kern w:val="0"/>
                <w:sz w:val="24"/>
              </w:rPr>
            </w:pPr>
          </w:p>
        </w:tc>
        <w:tc>
          <w:tcPr>
            <w:tcW w:w="1519"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微软雅黑 Light"/>
                <w:kern w:val="0"/>
                <w:sz w:val="24"/>
              </w:rPr>
            </w:pPr>
          </w:p>
        </w:tc>
        <w:tc>
          <w:tcPr>
            <w:tcW w:w="1519"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微软雅黑 Light"/>
                <w:kern w:val="0"/>
                <w:sz w:val="24"/>
              </w:rPr>
            </w:pPr>
          </w:p>
        </w:tc>
      </w:tr>
    </w:tbl>
    <w:p>
      <w:pPr>
        <w:ind w:right="960"/>
        <w:rPr>
          <w:rFonts w:ascii="宋体" w:hAnsi="宋体" w:cs="微软雅黑 Light"/>
          <w:sz w:val="24"/>
        </w:rPr>
      </w:pPr>
    </w:p>
    <w:p>
      <w:pPr>
        <w:ind w:right="960"/>
        <w:rPr>
          <w:rFonts w:ascii="宋体" w:hAnsi="宋体" w:cs="微软雅黑 Light"/>
          <w:sz w:val="24"/>
        </w:rPr>
      </w:pPr>
      <w:r>
        <w:rPr>
          <w:rFonts w:ascii="宋体" w:hAnsi="宋体" w:cs="微软雅黑 Light"/>
          <w:sz w:val="24"/>
        </w:rPr>
        <w:t>评分人</w:t>
      </w:r>
      <w:r>
        <w:rPr>
          <w:rFonts w:hint="eastAsia" w:ascii="宋体" w:hAnsi="宋体" w:cs="微软雅黑 Light"/>
          <w:sz w:val="24"/>
        </w:rPr>
        <w:t>：</w:t>
      </w:r>
      <w:r>
        <w:rPr>
          <w:rFonts w:ascii="宋体" w:hAnsi="宋体" w:cs="微软雅黑 Light"/>
          <w:sz w:val="24"/>
        </w:rPr>
        <w:t xml:space="preserve">                                                                      </w:t>
      </w:r>
      <w:r>
        <w:rPr>
          <w:rFonts w:hint="eastAsia" w:ascii="宋体" w:hAnsi="宋体" w:eastAsia="宋体" w:cs="微软雅黑 Light"/>
          <w:sz w:val="24"/>
        </w:rPr>
        <w:t>检查日期：20</w:t>
      </w:r>
      <w:r>
        <w:rPr>
          <w:rFonts w:ascii="宋体" w:hAnsi="宋体" w:eastAsia="宋体" w:cs="微软雅黑 Light"/>
          <w:sz w:val="24"/>
        </w:rPr>
        <w:t>20</w:t>
      </w:r>
      <w:r>
        <w:rPr>
          <w:rFonts w:hint="eastAsia" w:ascii="宋体" w:hAnsi="宋体" w:eastAsia="宋体" w:cs="微软雅黑 Light"/>
          <w:sz w:val="24"/>
        </w:rPr>
        <w:t xml:space="preserve">  年  月  日</w:t>
      </w:r>
    </w:p>
    <w:p>
      <w:pPr>
        <w:widowControl/>
        <w:adjustRightInd w:val="0"/>
        <w:snapToGrid w:val="0"/>
        <w:spacing w:line="260" w:lineRule="atLeast"/>
        <w:rPr>
          <w:rFonts w:ascii="宋体" w:hAnsi="宋体" w:eastAsia="宋体" w:cs="微软雅黑 Light"/>
          <w:sz w:val="24"/>
        </w:rPr>
      </w:pPr>
      <w:r>
        <w:rPr>
          <w:rFonts w:ascii="宋体" w:hAnsi="宋体" w:eastAsia="宋体" w:cs="微软雅黑 Light"/>
          <w:sz w:val="24"/>
        </w:rPr>
        <w:t xml:space="preserve"> </w:t>
      </w:r>
    </w:p>
    <w:sectPr>
      <w:pgSz w:w="16838" w:h="11906" w:orient="landscape"/>
      <w:pgMar w:top="1797" w:right="1440" w:bottom="1797"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文鼎大标宋简">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ºÚÌå">
    <w:altName w:val="Arial"/>
    <w:panose1 w:val="00000000000000000000"/>
    <w:charset w:val="00"/>
    <w:family w:val="moder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Light">
    <w:altName w:val="黑体"/>
    <w:panose1 w:val="020B0502040204020203"/>
    <w:charset w:val="86"/>
    <w:family w:val="swiss"/>
    <w:pitch w:val="default"/>
    <w:sig w:usb0="00000000" w:usb1="0000000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7C63D0"/>
    <w:multiLevelType w:val="singleLevel"/>
    <w:tmpl w:val="8A7C63D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AB13AF"/>
    <w:rsid w:val="000415BC"/>
    <w:rsid w:val="00077BF4"/>
    <w:rsid w:val="00084733"/>
    <w:rsid w:val="000C0DBF"/>
    <w:rsid w:val="00106BA2"/>
    <w:rsid w:val="00106E24"/>
    <w:rsid w:val="00114D52"/>
    <w:rsid w:val="00185563"/>
    <w:rsid w:val="001F7FE3"/>
    <w:rsid w:val="00215E4D"/>
    <w:rsid w:val="002C51D5"/>
    <w:rsid w:val="002F03F0"/>
    <w:rsid w:val="002F776D"/>
    <w:rsid w:val="00444C7C"/>
    <w:rsid w:val="00480B7C"/>
    <w:rsid w:val="004B671D"/>
    <w:rsid w:val="004D0E24"/>
    <w:rsid w:val="004D1E82"/>
    <w:rsid w:val="00540AF9"/>
    <w:rsid w:val="005556C0"/>
    <w:rsid w:val="005A3BFA"/>
    <w:rsid w:val="005B250D"/>
    <w:rsid w:val="005D41B9"/>
    <w:rsid w:val="005D6CAA"/>
    <w:rsid w:val="00606F6A"/>
    <w:rsid w:val="006F33C9"/>
    <w:rsid w:val="00720CA3"/>
    <w:rsid w:val="00745CFA"/>
    <w:rsid w:val="00757E61"/>
    <w:rsid w:val="008716F1"/>
    <w:rsid w:val="008B0AD6"/>
    <w:rsid w:val="008F4824"/>
    <w:rsid w:val="00930CDA"/>
    <w:rsid w:val="00943750"/>
    <w:rsid w:val="00963FF5"/>
    <w:rsid w:val="009D12BD"/>
    <w:rsid w:val="00A570B0"/>
    <w:rsid w:val="00A67B8E"/>
    <w:rsid w:val="00B62FEE"/>
    <w:rsid w:val="00B66AF0"/>
    <w:rsid w:val="00C0582B"/>
    <w:rsid w:val="00C44886"/>
    <w:rsid w:val="00C8155F"/>
    <w:rsid w:val="00CF0876"/>
    <w:rsid w:val="00DC5899"/>
    <w:rsid w:val="00E07A30"/>
    <w:rsid w:val="00ED450D"/>
    <w:rsid w:val="01A84BF3"/>
    <w:rsid w:val="16AB13AF"/>
    <w:rsid w:val="247A5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9"/>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0"/>
    <w:qFormat/>
    <w:uiPriority w:val="0"/>
    <w:pPr>
      <w:widowControl/>
      <w:spacing w:before="100" w:beforeAutospacing="1" w:after="100" w:afterAutospacing="1" w:line="460" w:lineRule="exact"/>
      <w:jc w:val="left"/>
      <w:outlineLvl w:val="1"/>
    </w:pPr>
    <w:rPr>
      <w:rFonts w:ascii="宋体" w:hAnsi="Times New Roman" w:eastAsia="宋体" w:cs="Times New Roman"/>
      <w:b/>
      <w:bCs/>
      <w:kern w:val="0"/>
      <w:sz w:val="36"/>
      <w:szCs w:val="36"/>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cs="Times New Roman"/>
      <w:szCs w:val="20"/>
    </w:rPr>
  </w:style>
  <w:style w:type="paragraph" w:styleId="5">
    <w:name w:val="Document Map"/>
    <w:basedOn w:val="1"/>
    <w:link w:val="33"/>
    <w:qFormat/>
    <w:uiPriority w:val="0"/>
    <w:rPr>
      <w:rFonts w:ascii="宋体" w:hAnsi="Times New Roman" w:eastAsia="宋体" w:cs="Times New Roman"/>
      <w:kern w:val="0"/>
      <w:sz w:val="18"/>
      <w:szCs w:val="18"/>
    </w:rPr>
  </w:style>
  <w:style w:type="paragraph" w:styleId="6">
    <w:name w:val="annotation text"/>
    <w:basedOn w:val="1"/>
    <w:link w:val="34"/>
    <w:qFormat/>
    <w:uiPriority w:val="0"/>
    <w:pPr>
      <w:spacing w:line="460" w:lineRule="exact"/>
      <w:jc w:val="left"/>
    </w:pPr>
    <w:rPr>
      <w:rFonts w:ascii="Calibri" w:hAnsi="Calibri" w:eastAsia="宋体" w:cs="Times New Roman"/>
      <w:szCs w:val="21"/>
    </w:rPr>
  </w:style>
  <w:style w:type="paragraph" w:styleId="7">
    <w:name w:val="Body Text"/>
    <w:basedOn w:val="1"/>
    <w:link w:val="35"/>
    <w:qFormat/>
    <w:uiPriority w:val="0"/>
    <w:pPr>
      <w:spacing w:line="380" w:lineRule="exact"/>
    </w:pPr>
    <w:rPr>
      <w:rFonts w:ascii="Times New Roman" w:hAnsi="Times New Roman" w:eastAsia="仿宋_GB2312" w:cs="Times New Roman"/>
      <w:sz w:val="28"/>
      <w:szCs w:val="20"/>
    </w:rPr>
  </w:style>
  <w:style w:type="paragraph" w:styleId="8">
    <w:name w:val="Body Text Indent"/>
    <w:basedOn w:val="1"/>
    <w:link w:val="36"/>
    <w:qFormat/>
    <w:uiPriority w:val="0"/>
    <w:pPr>
      <w:spacing w:line="460" w:lineRule="exact"/>
      <w:ind w:firstLine="630"/>
    </w:pPr>
    <w:rPr>
      <w:rFonts w:ascii="仿宋_GB2312" w:hAnsi="Times New Roman" w:eastAsia="仿宋_GB2312" w:cs="Times New Roman"/>
      <w:sz w:val="32"/>
      <w:szCs w:val="20"/>
    </w:rPr>
  </w:style>
  <w:style w:type="paragraph" w:styleId="9">
    <w:name w:val="Plain Text"/>
    <w:basedOn w:val="1"/>
    <w:link w:val="37"/>
    <w:qFormat/>
    <w:uiPriority w:val="0"/>
    <w:pPr>
      <w:spacing w:line="460" w:lineRule="exact"/>
    </w:pPr>
    <w:rPr>
      <w:rFonts w:ascii="宋体" w:hAnsi="Courier New" w:eastAsia="宋体" w:cs="Times New Roman"/>
      <w:szCs w:val="20"/>
    </w:rPr>
  </w:style>
  <w:style w:type="paragraph" w:styleId="10">
    <w:name w:val="Date"/>
    <w:basedOn w:val="1"/>
    <w:next w:val="1"/>
    <w:link w:val="28"/>
    <w:qFormat/>
    <w:uiPriority w:val="0"/>
    <w:pPr>
      <w:ind w:left="100" w:leftChars="2500"/>
    </w:pPr>
  </w:style>
  <w:style w:type="paragraph" w:styleId="11">
    <w:name w:val="Body Text Indent 2"/>
    <w:basedOn w:val="1"/>
    <w:link w:val="38"/>
    <w:qFormat/>
    <w:uiPriority w:val="0"/>
    <w:pPr>
      <w:tabs>
        <w:tab w:val="left" w:pos="1809"/>
      </w:tabs>
      <w:adjustRightInd w:val="0"/>
      <w:spacing w:line="480" w:lineRule="exact"/>
      <w:ind w:firstLine="555"/>
      <w:jc w:val="left"/>
      <w:textAlignment w:val="bottom"/>
    </w:pPr>
    <w:rPr>
      <w:rFonts w:ascii="仿宋_GB2312" w:hAnsi="Times New Roman" w:eastAsia="仿宋_GB2312" w:cs="Times New Roman"/>
      <w:kern w:val="0"/>
      <w:sz w:val="28"/>
      <w:szCs w:val="20"/>
    </w:rPr>
  </w:style>
  <w:style w:type="paragraph" w:styleId="12">
    <w:name w:val="Balloon Text"/>
    <w:basedOn w:val="1"/>
    <w:link w:val="32"/>
    <w:unhideWhenUsed/>
    <w:qFormat/>
    <w:uiPriority w:val="0"/>
    <w:rPr>
      <w:rFonts w:ascii="Calibri" w:hAnsi="Calibri" w:eastAsia="宋体" w:cs="Times New Roman"/>
      <w:sz w:val="18"/>
      <w:szCs w:val="18"/>
    </w:rPr>
  </w:style>
  <w:style w:type="paragraph" w:styleId="13">
    <w:name w:val="footer"/>
    <w:basedOn w:val="1"/>
    <w:link w:val="27"/>
    <w:qFormat/>
    <w:uiPriority w:val="99"/>
    <w:pPr>
      <w:tabs>
        <w:tab w:val="center" w:pos="4153"/>
        <w:tab w:val="right" w:pos="8306"/>
      </w:tabs>
      <w:snapToGrid w:val="0"/>
      <w:jc w:val="left"/>
    </w:pPr>
    <w:rPr>
      <w:sz w:val="18"/>
      <w:szCs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39"/>
    <w:qFormat/>
    <w:uiPriority w:val="0"/>
    <w:pPr>
      <w:adjustRightInd w:val="0"/>
      <w:snapToGrid w:val="0"/>
      <w:spacing w:line="360" w:lineRule="auto"/>
      <w:ind w:left="75" w:firstLine="345"/>
      <w:outlineLvl w:val="0"/>
    </w:pPr>
    <w:rPr>
      <w:rFonts w:ascii="宋体" w:hAnsi="Times New Roman" w:eastAsia="宋体" w:cs="Times New Roman"/>
      <w:kern w:val="0"/>
      <w:szCs w:val="21"/>
    </w:rPr>
  </w:style>
  <w:style w:type="paragraph" w:styleId="16">
    <w:name w:val="Normal (Web)"/>
    <w:basedOn w:val="1"/>
    <w:qFormat/>
    <w:uiPriority w:val="0"/>
    <w:pPr>
      <w:spacing w:beforeAutospacing="1" w:afterAutospacing="1"/>
      <w:jc w:val="left"/>
    </w:pPr>
    <w:rPr>
      <w:rFonts w:cs="Times New Roman"/>
      <w:kern w:val="0"/>
      <w:sz w:val="24"/>
    </w:rPr>
  </w:style>
  <w:style w:type="paragraph" w:styleId="17">
    <w:name w:val="annotation subject"/>
    <w:basedOn w:val="6"/>
    <w:next w:val="6"/>
    <w:link w:val="40"/>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FollowedHyperlink"/>
    <w:qFormat/>
    <w:uiPriority w:val="0"/>
    <w:rPr>
      <w:rFonts w:cs="Times New Roman"/>
      <w:color w:val="800080"/>
      <w:u w:val="single"/>
    </w:rPr>
  </w:style>
  <w:style w:type="character" w:styleId="23">
    <w:name w:val="Hyperlink"/>
    <w:unhideWhenUsed/>
    <w:qFormat/>
    <w:uiPriority w:val="0"/>
    <w:rPr>
      <w:color w:val="0000FF"/>
      <w:u w:val="single"/>
    </w:rPr>
  </w:style>
  <w:style w:type="character" w:styleId="24">
    <w:name w:val="annotation reference"/>
    <w:qFormat/>
    <w:uiPriority w:val="0"/>
    <w:rPr>
      <w:rFonts w:cs="Times New Roman"/>
      <w:sz w:val="21"/>
      <w:szCs w:val="21"/>
    </w:rPr>
  </w:style>
  <w:style w:type="character" w:styleId="25">
    <w:name w:val="footnote reference"/>
    <w:qFormat/>
    <w:uiPriority w:val="0"/>
    <w:rPr>
      <w:rFonts w:cs="Times New Roman"/>
      <w:vertAlign w:val="superscript"/>
    </w:rPr>
  </w:style>
  <w:style w:type="character" w:customStyle="1" w:styleId="26">
    <w:name w:val="页眉 Char"/>
    <w:basedOn w:val="20"/>
    <w:link w:val="14"/>
    <w:qFormat/>
    <w:uiPriority w:val="0"/>
    <w:rPr>
      <w:rFonts w:asciiTheme="minorHAnsi" w:hAnsiTheme="minorHAnsi" w:eastAsiaTheme="minorEastAsia" w:cstheme="minorBidi"/>
      <w:kern w:val="2"/>
      <w:sz w:val="18"/>
      <w:szCs w:val="18"/>
    </w:rPr>
  </w:style>
  <w:style w:type="character" w:customStyle="1" w:styleId="27">
    <w:name w:val="页脚 Char"/>
    <w:basedOn w:val="20"/>
    <w:link w:val="13"/>
    <w:qFormat/>
    <w:uiPriority w:val="99"/>
    <w:rPr>
      <w:rFonts w:asciiTheme="minorHAnsi" w:hAnsiTheme="minorHAnsi" w:eastAsiaTheme="minorEastAsia" w:cstheme="minorBidi"/>
      <w:kern w:val="2"/>
      <w:sz w:val="18"/>
      <w:szCs w:val="18"/>
    </w:rPr>
  </w:style>
  <w:style w:type="character" w:customStyle="1" w:styleId="28">
    <w:name w:val="日期 Char"/>
    <w:basedOn w:val="20"/>
    <w:link w:val="10"/>
    <w:qFormat/>
    <w:uiPriority w:val="0"/>
    <w:rPr>
      <w:rFonts w:asciiTheme="minorHAnsi" w:hAnsiTheme="minorHAnsi" w:eastAsiaTheme="minorEastAsia" w:cstheme="minorBidi"/>
      <w:kern w:val="2"/>
      <w:sz w:val="21"/>
      <w:szCs w:val="24"/>
    </w:rPr>
  </w:style>
  <w:style w:type="character" w:customStyle="1" w:styleId="29">
    <w:name w:val="标题 1 Char"/>
    <w:basedOn w:val="20"/>
    <w:link w:val="2"/>
    <w:qFormat/>
    <w:uiPriority w:val="0"/>
    <w:rPr>
      <w:b/>
      <w:bCs/>
      <w:kern w:val="44"/>
      <w:sz w:val="44"/>
      <w:szCs w:val="44"/>
    </w:rPr>
  </w:style>
  <w:style w:type="character" w:customStyle="1" w:styleId="30">
    <w:name w:val="标题 2 Char"/>
    <w:basedOn w:val="20"/>
    <w:link w:val="3"/>
    <w:qFormat/>
    <w:uiPriority w:val="0"/>
    <w:rPr>
      <w:rFonts w:ascii="宋体"/>
      <w:b/>
      <w:bCs/>
      <w:sz w:val="36"/>
      <w:szCs w:val="36"/>
    </w:rPr>
  </w:style>
  <w:style w:type="paragraph" w:styleId="31">
    <w:name w:val="List Paragraph"/>
    <w:basedOn w:val="1"/>
    <w:qFormat/>
    <w:uiPriority w:val="34"/>
    <w:pPr>
      <w:ind w:firstLine="420" w:firstLineChars="200"/>
    </w:pPr>
    <w:rPr>
      <w:rFonts w:ascii="Calibri" w:hAnsi="Calibri" w:eastAsia="宋体" w:cs="Times New Roman"/>
      <w:szCs w:val="22"/>
    </w:rPr>
  </w:style>
  <w:style w:type="character" w:customStyle="1" w:styleId="32">
    <w:name w:val="批注框文本 Char"/>
    <w:basedOn w:val="20"/>
    <w:link w:val="12"/>
    <w:qFormat/>
    <w:uiPriority w:val="0"/>
    <w:rPr>
      <w:rFonts w:ascii="Calibri" w:hAnsi="Calibri"/>
      <w:kern w:val="2"/>
      <w:sz w:val="18"/>
      <w:szCs w:val="18"/>
    </w:rPr>
  </w:style>
  <w:style w:type="character" w:customStyle="1" w:styleId="33">
    <w:name w:val="文档结构图 Char"/>
    <w:basedOn w:val="20"/>
    <w:link w:val="5"/>
    <w:qFormat/>
    <w:uiPriority w:val="0"/>
    <w:rPr>
      <w:rFonts w:ascii="宋体"/>
      <w:sz w:val="18"/>
      <w:szCs w:val="18"/>
    </w:rPr>
  </w:style>
  <w:style w:type="character" w:customStyle="1" w:styleId="34">
    <w:name w:val="批注文字 Char"/>
    <w:basedOn w:val="20"/>
    <w:link w:val="6"/>
    <w:qFormat/>
    <w:uiPriority w:val="0"/>
    <w:rPr>
      <w:rFonts w:ascii="Calibri" w:hAnsi="Calibri"/>
      <w:kern w:val="2"/>
      <w:sz w:val="21"/>
      <w:szCs w:val="21"/>
    </w:rPr>
  </w:style>
  <w:style w:type="character" w:customStyle="1" w:styleId="35">
    <w:name w:val="正文文本 Char"/>
    <w:basedOn w:val="20"/>
    <w:link w:val="7"/>
    <w:qFormat/>
    <w:uiPriority w:val="0"/>
    <w:rPr>
      <w:rFonts w:eastAsia="仿宋_GB2312"/>
      <w:kern w:val="2"/>
      <w:sz w:val="28"/>
    </w:rPr>
  </w:style>
  <w:style w:type="character" w:customStyle="1" w:styleId="36">
    <w:name w:val="正文文本缩进 Char"/>
    <w:basedOn w:val="20"/>
    <w:link w:val="8"/>
    <w:qFormat/>
    <w:uiPriority w:val="0"/>
    <w:rPr>
      <w:rFonts w:ascii="仿宋_GB2312" w:eastAsia="仿宋_GB2312"/>
      <w:kern w:val="2"/>
      <w:sz w:val="32"/>
    </w:rPr>
  </w:style>
  <w:style w:type="character" w:customStyle="1" w:styleId="37">
    <w:name w:val="纯文本 Char"/>
    <w:basedOn w:val="20"/>
    <w:link w:val="9"/>
    <w:qFormat/>
    <w:uiPriority w:val="0"/>
    <w:rPr>
      <w:rFonts w:ascii="宋体" w:hAnsi="Courier New"/>
      <w:kern w:val="2"/>
      <w:sz w:val="21"/>
    </w:rPr>
  </w:style>
  <w:style w:type="character" w:customStyle="1" w:styleId="38">
    <w:name w:val="正文文本缩进 2 Char"/>
    <w:basedOn w:val="20"/>
    <w:link w:val="11"/>
    <w:qFormat/>
    <w:uiPriority w:val="0"/>
    <w:rPr>
      <w:rFonts w:ascii="仿宋_GB2312" w:eastAsia="仿宋_GB2312"/>
      <w:sz w:val="28"/>
    </w:rPr>
  </w:style>
  <w:style w:type="character" w:customStyle="1" w:styleId="39">
    <w:name w:val="正文文本缩进 3 Char"/>
    <w:basedOn w:val="20"/>
    <w:link w:val="15"/>
    <w:qFormat/>
    <w:uiPriority w:val="0"/>
    <w:rPr>
      <w:rFonts w:ascii="宋体"/>
      <w:sz w:val="21"/>
      <w:szCs w:val="21"/>
    </w:rPr>
  </w:style>
  <w:style w:type="character" w:customStyle="1" w:styleId="40">
    <w:name w:val="批注主题 Char"/>
    <w:basedOn w:val="34"/>
    <w:link w:val="17"/>
    <w:qFormat/>
    <w:uiPriority w:val="0"/>
    <w:rPr>
      <w:rFonts w:ascii="Calibri" w:hAnsi="Calibri"/>
      <w:b/>
      <w:bCs/>
      <w:kern w:val="2"/>
      <w:sz w:val="21"/>
      <w:szCs w:val="21"/>
    </w:rPr>
  </w:style>
  <w:style w:type="paragraph" w:customStyle="1" w:styleId="41">
    <w:name w:val="大标题"/>
    <w:basedOn w:val="1"/>
    <w:qFormat/>
    <w:uiPriority w:val="0"/>
    <w:pPr>
      <w:adjustRightInd w:val="0"/>
      <w:spacing w:before="2840" w:line="320" w:lineRule="atLeast"/>
      <w:jc w:val="center"/>
      <w:textAlignment w:val="bottom"/>
    </w:pPr>
    <w:rPr>
      <w:rFonts w:ascii="Times New Roman" w:hAnsi="Times New Roman" w:eastAsia="文鼎大标宋简" w:cs="Times New Roman"/>
      <w:kern w:val="0"/>
      <w:sz w:val="36"/>
      <w:szCs w:val="20"/>
    </w:rPr>
  </w:style>
  <w:style w:type="paragraph" w:customStyle="1" w:styleId="42">
    <w:name w:val="ordinary-output"/>
    <w:basedOn w:val="1"/>
    <w:qFormat/>
    <w:uiPriority w:val="0"/>
    <w:pPr>
      <w:widowControl/>
      <w:spacing w:before="100" w:beforeAutospacing="1" w:after="75" w:line="330" w:lineRule="atLeast"/>
      <w:jc w:val="left"/>
    </w:pPr>
    <w:rPr>
      <w:rFonts w:ascii="宋体" w:hAnsi="宋体" w:eastAsia="宋体" w:cs="宋体"/>
      <w:color w:val="333333"/>
      <w:kern w:val="0"/>
      <w:sz w:val="27"/>
      <w:szCs w:val="27"/>
    </w:rPr>
  </w:style>
  <w:style w:type="paragraph" w:customStyle="1" w:styleId="43">
    <w:name w:val="修订1"/>
    <w:qFormat/>
    <w:uiPriority w:val="0"/>
    <w:rPr>
      <w:rFonts w:ascii="Times New Roman" w:hAnsi="Times New Roman" w:eastAsia="宋体" w:cs="Times New Roman"/>
      <w:kern w:val="2"/>
      <w:sz w:val="21"/>
      <w:szCs w:val="24"/>
      <w:lang w:val="en-US" w:eastAsia="zh-CN" w:bidi="ar-SA"/>
    </w:rPr>
  </w:style>
  <w:style w:type="paragraph" w:customStyle="1" w:styleId="44">
    <w:name w:val="reader-word-layer reader-word-s19-13"/>
    <w:basedOn w:val="1"/>
    <w:qFormat/>
    <w:uiPriority w:val="0"/>
    <w:pPr>
      <w:widowControl/>
      <w:spacing w:before="100" w:beforeAutospacing="1" w:after="100" w:afterAutospacing="1" w:line="460" w:lineRule="exact"/>
      <w:jc w:val="left"/>
    </w:pPr>
    <w:rPr>
      <w:rFonts w:ascii="宋体" w:hAnsi="宋体" w:eastAsia="宋体" w:cs="宋体"/>
      <w:kern w:val="0"/>
      <w:sz w:val="24"/>
    </w:rPr>
  </w:style>
  <w:style w:type="paragraph" w:customStyle="1" w:styleId="45">
    <w:name w:val="reader-word-layer reader-word-s19-5"/>
    <w:basedOn w:val="1"/>
    <w:qFormat/>
    <w:uiPriority w:val="0"/>
    <w:pPr>
      <w:widowControl/>
      <w:spacing w:before="100" w:beforeAutospacing="1" w:after="100" w:afterAutospacing="1" w:line="460" w:lineRule="exact"/>
      <w:jc w:val="left"/>
    </w:pPr>
    <w:rPr>
      <w:rFonts w:ascii="宋体" w:hAnsi="宋体" w:eastAsia="宋体" w:cs="宋体"/>
      <w:kern w:val="0"/>
      <w:sz w:val="24"/>
    </w:rPr>
  </w:style>
  <w:style w:type="paragraph" w:customStyle="1" w:styleId="46">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7">
    <w:name w:val="函号"/>
    <w:basedOn w:val="1"/>
    <w:qFormat/>
    <w:uiPriority w:val="0"/>
    <w:pPr>
      <w:adjustRightInd w:val="0"/>
      <w:spacing w:line="440" w:lineRule="atLeast"/>
      <w:jc w:val="right"/>
      <w:textAlignment w:val="bottom"/>
    </w:pPr>
    <w:rPr>
      <w:rFonts w:ascii="Times New Roman" w:hAnsi="Times New Roman" w:eastAsia="仿宋_GB2312" w:cs="Times New Roman"/>
      <w:kern w:val="0"/>
      <w:sz w:val="28"/>
      <w:szCs w:val="20"/>
    </w:rPr>
  </w:style>
  <w:style w:type="paragraph" w:customStyle="1" w:styleId="48">
    <w:name w:val="列出段落1"/>
    <w:basedOn w:val="1"/>
    <w:qFormat/>
    <w:uiPriority w:val="0"/>
    <w:pPr>
      <w:ind w:firstLine="420" w:firstLineChars="200"/>
    </w:pPr>
    <w:rPr>
      <w:rFonts w:ascii="Times New Roman" w:hAnsi="Times New Roman" w:eastAsia="宋体" w:cs="Times New Roman"/>
    </w:rPr>
  </w:style>
  <w:style w:type="paragraph" w:customStyle="1" w:styleId="49">
    <w:name w:val="文号"/>
    <w:basedOn w:val="1"/>
    <w:qFormat/>
    <w:uiPriority w:val="0"/>
    <w:pPr>
      <w:adjustRightInd w:val="0"/>
      <w:spacing w:before="2550" w:line="360" w:lineRule="atLeast"/>
      <w:jc w:val="center"/>
      <w:textAlignment w:val="baseline"/>
    </w:pPr>
    <w:rPr>
      <w:rFonts w:ascii="Times New Roman" w:hAnsi="Times New Roman" w:eastAsia="仿宋_GB2312" w:cs="Times New Roman"/>
      <w:kern w:val="0"/>
      <w:sz w:val="28"/>
      <w:szCs w:val="20"/>
    </w:rPr>
  </w:style>
  <w:style w:type="paragraph" w:customStyle="1" w:styleId="50">
    <w:name w:val="主题词"/>
    <w:basedOn w:val="1"/>
    <w:qFormat/>
    <w:uiPriority w:val="0"/>
    <w:pPr>
      <w:adjustRightInd w:val="0"/>
      <w:spacing w:line="440" w:lineRule="atLeast"/>
      <w:jc w:val="left"/>
      <w:textAlignment w:val="bottom"/>
    </w:pPr>
    <w:rPr>
      <w:rFonts w:ascii="Times New Roman" w:hAnsi="Times New Roman" w:eastAsia="黑体" w:cs="Times New Roman"/>
      <w:kern w:val="0"/>
      <w:sz w:val="28"/>
      <w:szCs w:val="20"/>
    </w:rPr>
  </w:style>
  <w:style w:type="character" w:customStyle="1" w:styleId="51">
    <w:name w:val="edited2"/>
    <w:qFormat/>
    <w:uiPriority w:val="0"/>
    <w:rPr>
      <w:rFonts w:cs="Times New Roman"/>
    </w:rPr>
  </w:style>
  <w:style w:type="character" w:customStyle="1" w:styleId="52">
    <w:name w:val="high-light-bg4"/>
    <w:qFormat/>
    <w:uiPriority w:val="0"/>
    <w:rPr>
      <w:rFonts w:cs="Times New Roman"/>
    </w:rPr>
  </w:style>
  <w:style w:type="character" w:customStyle="1" w:styleId="53">
    <w:name w:val="unnamed2"/>
    <w:qFormat/>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2560</Words>
  <Characters>14592</Characters>
  <Lines>121</Lines>
  <Paragraphs>34</Paragraphs>
  <TotalTime>179</TotalTime>
  <ScaleCrop>false</ScaleCrop>
  <LinksUpToDate>false</LinksUpToDate>
  <CharactersWithSpaces>17118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2020-07-07T13:01:00Z</dcterms:created>
  <dc:creator>JSNU</dc:creator>
  <cp:lastModifiedBy>JSNU</cp:lastModifiedBy>
  <dcterms:modified xsi:type="dcterms:W3CDTF">2020-07-13T09:33:00Z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